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35" w:rsidRDefault="008B6E35" w:rsidP="003C7084">
      <w:pPr>
        <w:rPr>
          <w:rFonts w:ascii="Arial" w:hAnsi="Arial" w:cs="Arial"/>
          <w:b/>
          <w:color w:val="365F91" w:themeColor="accent1" w:themeShade="BF"/>
          <w:sz w:val="26"/>
          <w:szCs w:val="26"/>
        </w:rPr>
      </w:pPr>
    </w:p>
    <w:p w:rsidR="003C7084" w:rsidRPr="00D10D39" w:rsidRDefault="003C7084" w:rsidP="003C7084">
      <w:pPr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>
        <w:rPr>
          <w:rFonts w:ascii="Arial" w:hAnsi="Arial" w:cs="Arial"/>
          <w:b/>
          <w:color w:val="365F91" w:themeColor="accent1" w:themeShade="BF"/>
          <w:sz w:val="26"/>
          <w:szCs w:val="26"/>
        </w:rPr>
        <w:t>3</w:t>
      </w:r>
      <w:r w:rsidRPr="00D10D39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квартал 2014 года</w:t>
      </w:r>
    </w:p>
    <w:p w:rsidR="003C7084" w:rsidRPr="00D7176F" w:rsidRDefault="003C7084" w:rsidP="003C7084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7176F">
        <w:rPr>
          <w:rFonts w:ascii="Arial" w:hAnsi="Arial" w:cs="Arial"/>
          <w:b/>
          <w:color w:val="244061" w:themeColor="accent1" w:themeShade="80"/>
          <w:sz w:val="28"/>
          <w:szCs w:val="28"/>
        </w:rPr>
        <w:t>ОБЗОР РЫНКА ЗАГОРОДНОЙ НЕДВИЖИМОСТИ</w:t>
      </w:r>
    </w:p>
    <w:p w:rsidR="003C7084" w:rsidRPr="00D7176F" w:rsidRDefault="003C7084" w:rsidP="003C7084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D7176F">
        <w:rPr>
          <w:rFonts w:ascii="Arial" w:hAnsi="Arial" w:cs="Arial"/>
          <w:color w:val="365F91" w:themeColor="accent1" w:themeShade="BF"/>
          <w:sz w:val="28"/>
          <w:szCs w:val="28"/>
        </w:rPr>
        <w:t>Тюмень</w:t>
      </w:r>
      <w:r w:rsidRPr="00D7176F">
        <w:rPr>
          <w:rStyle w:val="a5"/>
          <w:rFonts w:ascii="Arial" w:hAnsi="Arial" w:cs="Arial"/>
          <w:color w:val="365F91" w:themeColor="accent1" w:themeShade="BF"/>
          <w:sz w:val="28"/>
          <w:szCs w:val="28"/>
        </w:rPr>
        <w:footnoteReference w:id="2"/>
      </w:r>
    </w:p>
    <w:p w:rsidR="00056CE9" w:rsidRDefault="00056CE9" w:rsidP="003C7084">
      <w:pPr>
        <w:ind w:left="-1701"/>
      </w:pPr>
      <w:r>
        <w:rPr>
          <w:noProof/>
        </w:rPr>
        <w:drawing>
          <wp:inline distT="0" distB="0" distL="0" distR="0">
            <wp:extent cx="7520940" cy="5486587"/>
            <wp:effectExtent l="19050" t="0" r="3810" b="0"/>
            <wp:docPr id="2" name="Рисунок 2" descr="http://homester.com.ua/wp-content/uploads/2013/10/autumn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ster.com.ua/wp-content/uploads/2013/10/autumn-hou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548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2B" w:rsidRDefault="00D65E2B" w:rsidP="00D65E2B">
      <w:pPr>
        <w:pStyle w:val="af"/>
        <w:jc w:val="both"/>
        <w:rPr>
          <w:rFonts w:ascii="Arial" w:hAnsi="Arial" w:cs="Arial"/>
          <w:sz w:val="20"/>
          <w:szCs w:val="20"/>
        </w:rPr>
      </w:pPr>
    </w:p>
    <w:p w:rsidR="00056CE9" w:rsidRPr="00D65E2B" w:rsidRDefault="00D65E2B" w:rsidP="00D65E2B">
      <w:pPr>
        <w:pStyle w:val="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65E2B">
        <w:rPr>
          <w:rFonts w:ascii="Arial" w:hAnsi="Arial" w:cs="Arial"/>
          <w:sz w:val="20"/>
          <w:szCs w:val="20"/>
        </w:rPr>
        <w:t>Наибольшим спросом пользуются земельные участки, их доля в общем объеме продаж в 2014г. составила порядка 47%, на втором месте - дачи (24%)</w:t>
      </w:r>
    </w:p>
    <w:p w:rsidR="00D65E2B" w:rsidRDefault="00D65E2B" w:rsidP="00D65E2B">
      <w:pPr>
        <w:pStyle w:val="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Средняя цена продажи </w:t>
      </w:r>
      <w:r w:rsidR="00120183">
        <w:rPr>
          <w:rFonts w:ascii="Arial" w:hAnsi="Arial" w:cs="Arial"/>
          <w:sz w:val="20"/>
          <w:szCs w:val="20"/>
        </w:rPr>
        <w:t>земельных участков в 2014г. сложилась на уровне 924 тыс.руб., дач - 1084 тыс.руб., домов - 2324 тыс.руб., коттеджей - 7252 тыс.руб.</w:t>
      </w:r>
    </w:p>
    <w:p w:rsidR="004A5BBF" w:rsidRPr="00280A0A" w:rsidRDefault="00120183" w:rsidP="00280A0A">
      <w:pPr>
        <w:pStyle w:val="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Спрос на земельные участки в основном сосредоточен в диапазонах цен от 300 до 600 тыс.руб. и от 600 до 900 тыс.руб.</w:t>
      </w:r>
      <w:r w:rsidR="00C1368E">
        <w:rPr>
          <w:rFonts w:ascii="Arial" w:hAnsi="Arial" w:cs="Arial"/>
          <w:sz w:val="20"/>
          <w:szCs w:val="20"/>
        </w:rPr>
        <w:t xml:space="preserve"> Наиболее популярные направления: Салаирский и Московский тракты, черта г.Тюмень</w:t>
      </w:r>
      <w:r w:rsidR="00280A0A">
        <w:rPr>
          <w:rFonts w:ascii="Arial" w:hAnsi="Arial" w:cs="Arial"/>
          <w:sz w:val="20"/>
          <w:szCs w:val="20"/>
        </w:rPr>
        <w:t>.</w:t>
      </w:r>
      <w:r w:rsidR="00056CE9">
        <w:br w:type="page"/>
      </w:r>
    </w:p>
    <w:p w:rsidR="00056CE9" w:rsidRPr="00C04FDE" w:rsidRDefault="00056CE9" w:rsidP="00056CE9">
      <w:pPr>
        <w:spacing w:after="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C04FDE">
        <w:rPr>
          <w:rFonts w:ascii="Arial" w:hAnsi="Arial" w:cs="Arial"/>
          <w:b/>
        </w:rPr>
        <w:t xml:space="preserve"> квартал 2014 года</w:t>
      </w:r>
    </w:p>
    <w:p w:rsidR="00056CE9" w:rsidRPr="00C04FDE" w:rsidRDefault="00056CE9" w:rsidP="00056CE9">
      <w:pPr>
        <w:spacing w:after="0" w:line="240" w:lineRule="auto"/>
        <w:ind w:left="-284"/>
        <w:rPr>
          <w:rFonts w:ascii="Arial" w:hAnsi="Arial" w:cs="Arial"/>
          <w:b/>
        </w:rPr>
      </w:pPr>
      <w:r w:rsidRPr="00C04FDE">
        <w:rPr>
          <w:rFonts w:ascii="Arial" w:hAnsi="Arial" w:cs="Arial"/>
          <w:b/>
        </w:rPr>
        <w:t>ОБЗОР РЫНКА ЗАГОРОДНОЙ НЕДВИЖИМОСТИ</w:t>
      </w:r>
    </w:p>
    <w:p w:rsidR="00056CE9" w:rsidRPr="00C04FDE" w:rsidRDefault="00056CE9" w:rsidP="00056CE9">
      <w:pPr>
        <w:spacing w:after="0" w:line="240" w:lineRule="auto"/>
        <w:ind w:left="-284"/>
        <w:rPr>
          <w:rFonts w:ascii="Arial" w:hAnsi="Arial" w:cs="Arial"/>
          <w:b/>
        </w:rPr>
      </w:pPr>
      <w:r w:rsidRPr="00C04FDE">
        <w:rPr>
          <w:rFonts w:ascii="Arial" w:hAnsi="Arial" w:cs="Arial"/>
          <w:b/>
        </w:rPr>
        <w:t>Тюмень</w:t>
      </w:r>
    </w:p>
    <w:p w:rsidR="00056CE9" w:rsidRPr="00C04FDE" w:rsidRDefault="00056CE9" w:rsidP="00056CE9">
      <w:pPr>
        <w:spacing w:after="0" w:line="240" w:lineRule="auto"/>
        <w:ind w:left="-284"/>
        <w:rPr>
          <w:rFonts w:ascii="Arial" w:hAnsi="Arial" w:cs="Arial"/>
          <w:b/>
        </w:rPr>
      </w:pPr>
    </w:p>
    <w:p w:rsidR="00056CE9" w:rsidRPr="004A5BBF" w:rsidRDefault="004A5BBF" w:rsidP="004A5BBF">
      <w:pPr>
        <w:pStyle w:val="1"/>
        <w:ind w:left="-284"/>
        <w:rPr>
          <w:rFonts w:ascii="Arial" w:hAnsi="Arial" w:cs="Arial"/>
          <w:color w:val="auto"/>
          <w:sz w:val="22"/>
          <w:szCs w:val="22"/>
        </w:rPr>
      </w:pPr>
      <w:bookmarkStart w:id="0" w:name="_Toc400983659"/>
      <w:bookmarkStart w:id="1" w:name="_Toc401047136"/>
      <w:r w:rsidRPr="004A5BBF"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56CE9" w:rsidRPr="004A5BBF">
        <w:rPr>
          <w:rFonts w:ascii="Arial" w:hAnsi="Arial" w:cs="Arial"/>
          <w:color w:val="auto"/>
          <w:sz w:val="22"/>
          <w:szCs w:val="22"/>
        </w:rPr>
        <w:t>ОБЩАЯ СИТУАЦИЯ</w:t>
      </w:r>
      <w:bookmarkEnd w:id="0"/>
      <w:bookmarkEnd w:id="1"/>
    </w:p>
    <w:p w:rsidR="004A5BBF" w:rsidRDefault="004A5BBF" w:rsidP="006D0AB8">
      <w:pPr>
        <w:ind w:left="-284"/>
        <w:rPr>
          <w:rFonts w:ascii="Arial" w:hAnsi="Arial" w:cs="Arial"/>
          <w:b/>
          <w:sz w:val="20"/>
          <w:szCs w:val="20"/>
        </w:rPr>
      </w:pPr>
    </w:p>
    <w:p w:rsidR="00050841" w:rsidRPr="006D0AB8" w:rsidRDefault="006D0AB8" w:rsidP="006D0AB8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Сезонность и о</w:t>
      </w:r>
      <w:r w:rsidR="00056CE9" w:rsidRPr="00D866FE">
        <w:rPr>
          <w:rFonts w:ascii="Arial" w:hAnsi="Arial" w:cs="Arial"/>
          <w:b/>
          <w:sz w:val="20"/>
          <w:szCs w:val="20"/>
        </w:rPr>
        <w:t>бъем предложения</w:t>
      </w:r>
    </w:p>
    <w:p w:rsidR="009915AE" w:rsidRDefault="003A7FDD" w:rsidP="009915AE">
      <w:pPr>
        <w:tabs>
          <w:tab w:val="left" w:pos="1740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3A7FDD">
        <w:rPr>
          <w:rFonts w:ascii="Arial" w:hAnsi="Arial" w:cs="Arial"/>
          <w:sz w:val="20"/>
          <w:szCs w:val="20"/>
        </w:rPr>
        <w:t>На рынке загородной недвижимости наблюдается устоявшаяся тенденция: пики по заявкам приходятся на весну и осень.</w:t>
      </w:r>
      <w:r>
        <w:rPr>
          <w:rFonts w:ascii="Arial" w:hAnsi="Arial" w:cs="Arial"/>
          <w:sz w:val="20"/>
          <w:szCs w:val="20"/>
        </w:rPr>
        <w:t xml:space="preserve"> </w:t>
      </w:r>
      <w:r w:rsidR="00546B3F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аибольшая активность</w:t>
      </w:r>
      <w:r w:rsidR="009915AE">
        <w:rPr>
          <w:rFonts w:ascii="Arial" w:hAnsi="Arial" w:cs="Arial"/>
          <w:sz w:val="20"/>
          <w:szCs w:val="20"/>
        </w:rPr>
        <w:t xml:space="preserve"> покупателей</w:t>
      </w:r>
      <w:r>
        <w:rPr>
          <w:rFonts w:ascii="Arial" w:hAnsi="Arial" w:cs="Arial"/>
          <w:sz w:val="20"/>
          <w:szCs w:val="20"/>
        </w:rPr>
        <w:t xml:space="preserve"> в 3 кв.2014г. пришлась на август</w:t>
      </w:r>
      <w:r w:rsidR="009915AE">
        <w:rPr>
          <w:rFonts w:ascii="Arial" w:hAnsi="Arial" w:cs="Arial"/>
          <w:sz w:val="20"/>
          <w:szCs w:val="20"/>
        </w:rPr>
        <w:t xml:space="preserve">: спрос по сравнению с прошлым месяцем увеличился на 16,5%, по сравнению с августом 2013г. - 28,3% (↑). В сентябре прослеживается небольшое снижение заявок, однако в октябре - начале ноября ожидается осенний пик заявок на покупку. </w:t>
      </w:r>
    </w:p>
    <w:p w:rsidR="00A264DF" w:rsidRDefault="009915AE" w:rsidP="009915AE">
      <w:pPr>
        <w:tabs>
          <w:tab w:val="left" w:pos="1740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Активность продавцо</w:t>
      </w:r>
      <w:r w:rsidR="006069A8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с июня 2014г. имеет отрицательную тенденцию: </w:t>
      </w:r>
      <w:r w:rsidR="006069A8">
        <w:rPr>
          <w:rFonts w:ascii="Arial" w:hAnsi="Arial" w:cs="Arial"/>
          <w:sz w:val="20"/>
          <w:szCs w:val="20"/>
        </w:rPr>
        <w:t>в сентябре 2014г. по сравнению с началам квартала объем заявок снизился на 14,9</w:t>
      </w:r>
      <w:r w:rsidR="00A264DF">
        <w:rPr>
          <w:rFonts w:ascii="Arial" w:hAnsi="Arial" w:cs="Arial"/>
          <w:sz w:val="20"/>
          <w:szCs w:val="20"/>
        </w:rPr>
        <w:t>%.</w:t>
      </w:r>
    </w:p>
    <w:p w:rsidR="00056CE9" w:rsidRPr="003A7FDD" w:rsidRDefault="009915AE" w:rsidP="009915AE">
      <w:pPr>
        <w:tabs>
          <w:tab w:val="left" w:pos="1740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0AB8" w:rsidRDefault="00056CE9" w:rsidP="00056CE9">
      <w:pPr>
        <w:tabs>
          <w:tab w:val="left" w:pos="1740"/>
        </w:tabs>
      </w:pPr>
      <w:r w:rsidRPr="00056CE9">
        <w:rPr>
          <w:noProof/>
        </w:rPr>
        <w:drawing>
          <wp:inline distT="0" distB="0" distL="0" distR="0">
            <wp:extent cx="5362574" cy="2590799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5BBF" w:rsidRDefault="004A5BBF" w:rsidP="008B6E35">
      <w:pPr>
        <w:jc w:val="both"/>
        <w:rPr>
          <w:rFonts w:ascii="Arial" w:hAnsi="Arial" w:cs="Arial"/>
          <w:sz w:val="20"/>
          <w:szCs w:val="20"/>
        </w:rPr>
      </w:pPr>
    </w:p>
    <w:p w:rsidR="006D0AB8" w:rsidRPr="006069A8" w:rsidRDefault="006069A8" w:rsidP="008B6E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предложения в 3 кв.2014г. составил более 11820 объектов загородной недвижимости. </w:t>
      </w:r>
      <w:r w:rsidR="008B6E35">
        <w:rPr>
          <w:rFonts w:ascii="Arial" w:hAnsi="Arial" w:cs="Arial"/>
          <w:sz w:val="20"/>
          <w:szCs w:val="20"/>
        </w:rPr>
        <w:t xml:space="preserve">Темп прироста </w:t>
      </w:r>
      <w:r w:rsidR="006C0FBB">
        <w:rPr>
          <w:rFonts w:ascii="Arial" w:hAnsi="Arial" w:cs="Arial"/>
          <w:sz w:val="20"/>
          <w:szCs w:val="20"/>
        </w:rPr>
        <w:t xml:space="preserve">к 3 кв.2013г. составил порядка </w:t>
      </w:r>
      <w:r w:rsidR="008B6E35">
        <w:rPr>
          <w:rFonts w:ascii="Arial" w:hAnsi="Arial" w:cs="Arial"/>
          <w:sz w:val="20"/>
          <w:szCs w:val="20"/>
        </w:rPr>
        <w:t xml:space="preserve">34,5% (↑), к предыдущему кварталу - 5,9% (↑). </w:t>
      </w:r>
    </w:p>
    <w:p w:rsidR="008B6E35" w:rsidRDefault="006D0AB8" w:rsidP="007B4D32">
      <w:pPr>
        <w:jc w:val="center"/>
      </w:pPr>
      <w:r w:rsidRPr="006D0AB8">
        <w:rPr>
          <w:noProof/>
        </w:rPr>
        <w:drawing>
          <wp:inline distT="0" distB="0" distL="0" distR="0">
            <wp:extent cx="4905375" cy="22193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6E35" w:rsidRDefault="004C328F" w:rsidP="004C328F">
      <w:pPr>
        <w:jc w:val="both"/>
        <w:rPr>
          <w:rFonts w:ascii="Arial" w:hAnsi="Arial" w:cs="Arial"/>
          <w:sz w:val="20"/>
          <w:szCs w:val="20"/>
        </w:rPr>
      </w:pPr>
      <w:r w:rsidRPr="00F56332">
        <w:rPr>
          <w:rFonts w:ascii="Arial" w:hAnsi="Arial" w:cs="Arial"/>
          <w:sz w:val="20"/>
          <w:szCs w:val="20"/>
        </w:rPr>
        <w:lastRenderedPageBreak/>
        <w:t>Традиционно, превалирующий объем предложения на рынке загородной недвижимости представлен земельными участками - 49,4% в общем объеме предложения; доля домов составила порядка 22,6%, дач - 17,1%, коттеджей - 9,9% и таунхаусов - 1,1%.</w:t>
      </w:r>
    </w:p>
    <w:p w:rsidR="005D5383" w:rsidRPr="00F56332" w:rsidRDefault="005D5383" w:rsidP="004C328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1063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1"/>
        <w:gridCol w:w="5271"/>
      </w:tblGrid>
      <w:tr w:rsidR="004C328F" w:rsidTr="004C328F">
        <w:tc>
          <w:tcPr>
            <w:tcW w:w="4785" w:type="dxa"/>
          </w:tcPr>
          <w:p w:rsidR="004C328F" w:rsidRDefault="004C328F">
            <w:r w:rsidRPr="004C328F">
              <w:rPr>
                <w:noProof/>
              </w:rPr>
              <w:drawing>
                <wp:inline distT="0" distB="0" distL="0" distR="0">
                  <wp:extent cx="3267075" cy="2162175"/>
                  <wp:effectExtent l="0" t="0" r="0" b="0"/>
                  <wp:docPr id="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847" w:type="dxa"/>
          </w:tcPr>
          <w:p w:rsidR="004C328F" w:rsidRDefault="004C328F"/>
          <w:p w:rsidR="004C328F" w:rsidRDefault="004C328F"/>
          <w:tbl>
            <w:tblPr>
              <w:tblStyle w:val="1-5"/>
              <w:tblW w:w="5026" w:type="dxa"/>
              <w:tblLook w:val="04A0"/>
            </w:tblPr>
            <w:tblGrid>
              <w:gridCol w:w="1964"/>
              <w:gridCol w:w="1257"/>
              <w:gridCol w:w="1805"/>
            </w:tblGrid>
            <w:tr w:rsidR="004C328F" w:rsidRPr="004C328F" w:rsidTr="004C328F">
              <w:trPr>
                <w:cnfStyle w:val="100000000000"/>
                <w:trHeight w:val="300"/>
              </w:trPr>
              <w:tc>
                <w:tcPr>
                  <w:cnfStyle w:val="001000000000"/>
                  <w:tcW w:w="1964" w:type="dxa"/>
                  <w:noWrap/>
                  <w:vAlign w:val="center"/>
                  <w:hideMark/>
                </w:tcPr>
                <w:p w:rsidR="004C328F" w:rsidRPr="00AD7AD5" w:rsidRDefault="004C328F" w:rsidP="0005084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D7A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1257" w:type="dxa"/>
                  <w:noWrap/>
                  <w:vAlign w:val="center"/>
                  <w:hideMark/>
                </w:tcPr>
                <w:p w:rsidR="004C328F" w:rsidRPr="00AD7AD5" w:rsidRDefault="004C328F" w:rsidP="00050841">
                  <w:pPr>
                    <w:jc w:val="center"/>
                    <w:cnfStyle w:val="10000000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D7A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Доля, %</w:t>
                  </w:r>
                </w:p>
              </w:tc>
              <w:tc>
                <w:tcPr>
                  <w:tcW w:w="1805" w:type="dxa"/>
                  <w:noWrap/>
                  <w:vAlign w:val="center"/>
                  <w:hideMark/>
                </w:tcPr>
                <w:p w:rsidR="004C328F" w:rsidRPr="00AD7AD5" w:rsidRDefault="004C328F" w:rsidP="004C328F">
                  <w:pPr>
                    <w:jc w:val="center"/>
                    <w:cnfStyle w:val="10000000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D7AD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Темп прироста ко 2 кв.2014г., %</w:t>
                  </w:r>
                </w:p>
              </w:tc>
            </w:tr>
            <w:tr w:rsidR="004C328F" w:rsidRPr="004C328F" w:rsidTr="004C328F">
              <w:trPr>
                <w:cnfStyle w:val="000000100000"/>
                <w:trHeight w:val="300"/>
              </w:trPr>
              <w:tc>
                <w:tcPr>
                  <w:cnfStyle w:val="001000000000"/>
                  <w:tcW w:w="1964" w:type="dxa"/>
                  <w:noWrap/>
                  <w:hideMark/>
                </w:tcPr>
                <w:p w:rsidR="004C328F" w:rsidRPr="004C328F" w:rsidRDefault="004C328F" w:rsidP="004C328F">
                  <w:pPr>
                    <w:ind w:left="84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Земельные участки</w:t>
                  </w:r>
                </w:p>
              </w:tc>
              <w:tc>
                <w:tcPr>
                  <w:tcW w:w="1257" w:type="dxa"/>
                  <w:noWrap/>
                  <w:hideMark/>
                </w:tcPr>
                <w:p w:rsidR="004C328F" w:rsidRPr="004C328F" w:rsidRDefault="004C328F" w:rsidP="004C328F">
                  <w:pPr>
                    <w:ind w:left="246"/>
                    <w:cnfStyle w:val="00000010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49,4</w:t>
                  </w:r>
                </w:p>
              </w:tc>
              <w:tc>
                <w:tcPr>
                  <w:tcW w:w="1805" w:type="dxa"/>
                  <w:noWrap/>
                  <w:hideMark/>
                </w:tcPr>
                <w:p w:rsidR="004C328F" w:rsidRPr="004C328F" w:rsidRDefault="004C328F" w:rsidP="004C328F">
                  <w:pPr>
                    <w:ind w:left="123"/>
                    <w:jc w:val="center"/>
                    <w:cnfStyle w:val="00000010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6,9</w:t>
                  </w:r>
                </w:p>
              </w:tc>
            </w:tr>
            <w:tr w:rsidR="004C328F" w:rsidRPr="004C328F" w:rsidTr="004C328F">
              <w:trPr>
                <w:cnfStyle w:val="000000010000"/>
                <w:trHeight w:val="300"/>
              </w:trPr>
              <w:tc>
                <w:tcPr>
                  <w:cnfStyle w:val="001000000000"/>
                  <w:tcW w:w="1964" w:type="dxa"/>
                  <w:noWrap/>
                  <w:hideMark/>
                </w:tcPr>
                <w:p w:rsidR="004C328F" w:rsidRPr="004C328F" w:rsidRDefault="004C328F" w:rsidP="004C328F">
                  <w:pPr>
                    <w:ind w:left="84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Дома</w:t>
                  </w:r>
                </w:p>
              </w:tc>
              <w:tc>
                <w:tcPr>
                  <w:tcW w:w="1257" w:type="dxa"/>
                  <w:noWrap/>
                  <w:hideMark/>
                </w:tcPr>
                <w:p w:rsidR="004C328F" w:rsidRPr="004C328F" w:rsidRDefault="004C328F" w:rsidP="004C328F">
                  <w:pPr>
                    <w:ind w:left="246"/>
                    <w:cnfStyle w:val="00000001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1805" w:type="dxa"/>
                  <w:noWrap/>
                  <w:hideMark/>
                </w:tcPr>
                <w:p w:rsidR="004C328F" w:rsidRPr="004C328F" w:rsidRDefault="004C328F" w:rsidP="004C328F">
                  <w:pPr>
                    <w:ind w:left="123"/>
                    <w:jc w:val="center"/>
                    <w:cnfStyle w:val="00000001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8,7</w:t>
                  </w:r>
                </w:p>
              </w:tc>
            </w:tr>
            <w:tr w:rsidR="004C328F" w:rsidRPr="004C328F" w:rsidTr="004C328F">
              <w:trPr>
                <w:cnfStyle w:val="000000100000"/>
                <w:trHeight w:val="300"/>
              </w:trPr>
              <w:tc>
                <w:tcPr>
                  <w:cnfStyle w:val="001000000000"/>
                  <w:tcW w:w="1964" w:type="dxa"/>
                  <w:noWrap/>
                  <w:hideMark/>
                </w:tcPr>
                <w:p w:rsidR="004C328F" w:rsidRPr="004C328F" w:rsidRDefault="004C328F" w:rsidP="004C328F">
                  <w:pPr>
                    <w:ind w:left="84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Дачи</w:t>
                  </w:r>
                </w:p>
              </w:tc>
              <w:tc>
                <w:tcPr>
                  <w:tcW w:w="1257" w:type="dxa"/>
                  <w:noWrap/>
                  <w:hideMark/>
                </w:tcPr>
                <w:p w:rsidR="004C328F" w:rsidRPr="004C328F" w:rsidRDefault="004C328F" w:rsidP="004C328F">
                  <w:pPr>
                    <w:ind w:left="246"/>
                    <w:cnfStyle w:val="00000010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1805" w:type="dxa"/>
                  <w:noWrap/>
                  <w:hideMark/>
                </w:tcPr>
                <w:p w:rsidR="004C328F" w:rsidRPr="004C328F" w:rsidRDefault="004C328F" w:rsidP="004C328F">
                  <w:pPr>
                    <w:ind w:left="123"/>
                    <w:jc w:val="center"/>
                    <w:cnfStyle w:val="00000010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4C328F" w:rsidRPr="004C328F" w:rsidTr="004C328F">
              <w:trPr>
                <w:cnfStyle w:val="000000010000"/>
                <w:trHeight w:val="300"/>
              </w:trPr>
              <w:tc>
                <w:tcPr>
                  <w:cnfStyle w:val="001000000000"/>
                  <w:tcW w:w="1964" w:type="dxa"/>
                  <w:noWrap/>
                  <w:hideMark/>
                </w:tcPr>
                <w:p w:rsidR="004C328F" w:rsidRPr="004C328F" w:rsidRDefault="004C328F" w:rsidP="004C328F">
                  <w:pPr>
                    <w:ind w:left="84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Коттеджи</w:t>
                  </w:r>
                </w:p>
              </w:tc>
              <w:tc>
                <w:tcPr>
                  <w:tcW w:w="1257" w:type="dxa"/>
                  <w:noWrap/>
                  <w:hideMark/>
                </w:tcPr>
                <w:p w:rsidR="004C328F" w:rsidRPr="004C328F" w:rsidRDefault="004C328F" w:rsidP="004C328F">
                  <w:pPr>
                    <w:ind w:left="246"/>
                    <w:cnfStyle w:val="00000001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1805" w:type="dxa"/>
                  <w:noWrap/>
                  <w:hideMark/>
                </w:tcPr>
                <w:p w:rsidR="004C328F" w:rsidRPr="004C328F" w:rsidRDefault="004C328F" w:rsidP="004C328F">
                  <w:pPr>
                    <w:ind w:left="123"/>
                    <w:jc w:val="center"/>
                    <w:cnfStyle w:val="00000001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</w:tr>
            <w:tr w:rsidR="004C328F" w:rsidRPr="004C328F" w:rsidTr="004C328F">
              <w:trPr>
                <w:cnfStyle w:val="000000100000"/>
                <w:trHeight w:val="300"/>
              </w:trPr>
              <w:tc>
                <w:tcPr>
                  <w:cnfStyle w:val="001000000000"/>
                  <w:tcW w:w="1964" w:type="dxa"/>
                  <w:noWrap/>
                  <w:hideMark/>
                </w:tcPr>
                <w:p w:rsidR="004C328F" w:rsidRPr="004C328F" w:rsidRDefault="004C328F" w:rsidP="004C328F">
                  <w:pPr>
                    <w:ind w:left="84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Таунхаусы</w:t>
                  </w:r>
                </w:p>
              </w:tc>
              <w:tc>
                <w:tcPr>
                  <w:tcW w:w="1257" w:type="dxa"/>
                  <w:noWrap/>
                  <w:hideMark/>
                </w:tcPr>
                <w:p w:rsidR="004C328F" w:rsidRPr="004C328F" w:rsidRDefault="004C328F" w:rsidP="004C328F">
                  <w:pPr>
                    <w:ind w:left="246"/>
                    <w:cnfStyle w:val="00000010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805" w:type="dxa"/>
                  <w:noWrap/>
                  <w:hideMark/>
                </w:tcPr>
                <w:p w:rsidR="004C328F" w:rsidRPr="004C328F" w:rsidRDefault="004C328F" w:rsidP="004C328F">
                  <w:pPr>
                    <w:ind w:left="123"/>
                    <w:jc w:val="center"/>
                    <w:cnfStyle w:val="0000001000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328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5,9</w:t>
                  </w:r>
                </w:p>
              </w:tc>
            </w:tr>
          </w:tbl>
          <w:p w:rsidR="004C328F" w:rsidRDefault="004C328F"/>
          <w:p w:rsidR="004C328F" w:rsidRDefault="004C328F"/>
        </w:tc>
      </w:tr>
    </w:tbl>
    <w:p w:rsidR="00C45CAD" w:rsidRDefault="00C45CAD" w:rsidP="00F563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6E35" w:rsidRDefault="00AD7AD5" w:rsidP="00F563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0521">
        <w:rPr>
          <w:rFonts w:ascii="Arial" w:hAnsi="Arial" w:cs="Arial"/>
          <w:sz w:val="20"/>
          <w:szCs w:val="20"/>
        </w:rPr>
        <w:t xml:space="preserve">В разрезе по </w:t>
      </w:r>
      <w:r w:rsidR="00F56332">
        <w:rPr>
          <w:rFonts w:ascii="Arial" w:hAnsi="Arial" w:cs="Arial"/>
          <w:sz w:val="20"/>
          <w:szCs w:val="20"/>
        </w:rPr>
        <w:t>направлениям</w:t>
      </w:r>
      <w:r w:rsidRPr="007E0521">
        <w:rPr>
          <w:rFonts w:ascii="Arial" w:hAnsi="Arial" w:cs="Arial"/>
          <w:sz w:val="20"/>
          <w:szCs w:val="20"/>
        </w:rPr>
        <w:t xml:space="preserve"> преобладает </w:t>
      </w:r>
      <w:r w:rsidR="007E0521" w:rsidRPr="007E0521">
        <w:rPr>
          <w:rFonts w:ascii="Arial" w:hAnsi="Arial" w:cs="Arial"/>
          <w:sz w:val="20"/>
          <w:szCs w:val="20"/>
        </w:rPr>
        <w:t>объем предложения на Салаирском тракте - 21,8%, на втором месте - Московский тракт (15,8%), на третьем -</w:t>
      </w:r>
      <w:r w:rsidR="00546B3F">
        <w:rPr>
          <w:rFonts w:ascii="Arial" w:hAnsi="Arial" w:cs="Arial"/>
          <w:sz w:val="20"/>
          <w:szCs w:val="20"/>
        </w:rPr>
        <w:t xml:space="preserve"> черта г.</w:t>
      </w:r>
      <w:r w:rsidR="007E0521" w:rsidRPr="007E0521">
        <w:rPr>
          <w:rFonts w:ascii="Arial" w:hAnsi="Arial" w:cs="Arial"/>
          <w:sz w:val="20"/>
          <w:szCs w:val="20"/>
        </w:rPr>
        <w:t xml:space="preserve">Тюмень (14,9%) и далее в порядке убывания. </w:t>
      </w:r>
    </w:p>
    <w:p w:rsidR="005D5383" w:rsidRDefault="005D5383" w:rsidP="00F563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6332" w:rsidRDefault="007E0521" w:rsidP="00F563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отличие от всех </w:t>
      </w:r>
      <w:r w:rsidR="006C0FBB">
        <w:rPr>
          <w:rFonts w:ascii="Arial" w:hAnsi="Arial" w:cs="Arial"/>
          <w:sz w:val="20"/>
          <w:szCs w:val="20"/>
        </w:rPr>
        <w:t>направлений</w:t>
      </w:r>
      <w:r>
        <w:rPr>
          <w:rFonts w:ascii="Arial" w:hAnsi="Arial" w:cs="Arial"/>
          <w:sz w:val="20"/>
          <w:szCs w:val="20"/>
        </w:rPr>
        <w:t xml:space="preserve"> в </w:t>
      </w:r>
      <w:r w:rsidR="006C0FBB">
        <w:rPr>
          <w:rFonts w:ascii="Arial" w:hAnsi="Arial" w:cs="Arial"/>
          <w:sz w:val="20"/>
          <w:szCs w:val="20"/>
        </w:rPr>
        <w:t>районе</w:t>
      </w:r>
      <w:r>
        <w:rPr>
          <w:rFonts w:ascii="Arial" w:hAnsi="Arial" w:cs="Arial"/>
          <w:sz w:val="20"/>
          <w:szCs w:val="20"/>
        </w:rPr>
        <w:t xml:space="preserve"> Старого Тобольского тракта наблюдается снижение объема предложения на 2,8%</w:t>
      </w:r>
      <w:r w:rsidR="00F56332">
        <w:rPr>
          <w:rFonts w:ascii="Arial" w:hAnsi="Arial" w:cs="Arial"/>
          <w:sz w:val="20"/>
          <w:szCs w:val="20"/>
        </w:rPr>
        <w:t xml:space="preserve">(↓); за 3 кв.2014г. было </w:t>
      </w:r>
      <w:r w:rsidR="006C0FBB">
        <w:rPr>
          <w:rFonts w:ascii="Arial" w:hAnsi="Arial" w:cs="Arial"/>
          <w:sz w:val="20"/>
          <w:szCs w:val="20"/>
        </w:rPr>
        <w:t>выставлено порядка 114 объектов.</w:t>
      </w:r>
    </w:p>
    <w:p w:rsidR="006C0FBB" w:rsidRDefault="006C0FBB" w:rsidP="00F563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0521" w:rsidRPr="007E0521" w:rsidRDefault="00F56332" w:rsidP="007E05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Значительный</w:t>
      </w:r>
      <w:r w:rsidR="007E0521">
        <w:rPr>
          <w:rFonts w:ascii="Arial" w:hAnsi="Arial" w:cs="Arial"/>
          <w:sz w:val="20"/>
          <w:szCs w:val="20"/>
        </w:rPr>
        <w:t xml:space="preserve"> рост объема предложения был выявлен в районе Ирбитского тракта (↑24,4%)</w:t>
      </w:r>
      <w:r w:rsidR="00546B3F">
        <w:rPr>
          <w:rFonts w:ascii="Arial" w:hAnsi="Arial" w:cs="Arial"/>
          <w:sz w:val="20"/>
          <w:szCs w:val="20"/>
        </w:rPr>
        <w:t xml:space="preserve">, Московского тракта  (↑8,7%) и </w:t>
      </w:r>
      <w:r>
        <w:rPr>
          <w:rFonts w:ascii="Arial" w:hAnsi="Arial" w:cs="Arial"/>
          <w:sz w:val="20"/>
          <w:szCs w:val="20"/>
        </w:rPr>
        <w:t>Велижанского тракта (↑7,6%).</w:t>
      </w:r>
    </w:p>
    <w:tbl>
      <w:tblPr>
        <w:tblStyle w:val="1-5"/>
        <w:tblW w:w="7796" w:type="dxa"/>
        <w:tblInd w:w="959" w:type="dxa"/>
        <w:tblLook w:val="04A0"/>
      </w:tblPr>
      <w:tblGrid>
        <w:gridCol w:w="3227"/>
        <w:gridCol w:w="1680"/>
        <w:gridCol w:w="2889"/>
      </w:tblGrid>
      <w:tr w:rsidR="00AD7AD5" w:rsidRPr="00AD7AD5" w:rsidTr="00AD7AD5">
        <w:trPr>
          <w:cnfStyle w:val="100000000000"/>
          <w:trHeight w:val="300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D7AD5" w:rsidRPr="00AD7AD5" w:rsidRDefault="00AD7AD5" w:rsidP="000508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680" w:type="dxa"/>
            <w:noWrap/>
            <w:vAlign w:val="center"/>
            <w:hideMark/>
          </w:tcPr>
          <w:p w:rsidR="00AD7AD5" w:rsidRPr="00AD7AD5" w:rsidRDefault="00AD7AD5" w:rsidP="00050841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Доля, %</w:t>
            </w:r>
          </w:p>
        </w:tc>
        <w:tc>
          <w:tcPr>
            <w:tcW w:w="2889" w:type="dxa"/>
            <w:noWrap/>
            <w:vAlign w:val="center"/>
            <w:hideMark/>
          </w:tcPr>
          <w:p w:rsidR="00AD7AD5" w:rsidRPr="00AD7AD5" w:rsidRDefault="00AD7AD5" w:rsidP="00AD7AD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Темп прироста ко</w:t>
            </w:r>
          </w:p>
          <w:p w:rsidR="00AD7AD5" w:rsidRPr="00AD7AD5" w:rsidRDefault="00AD7AD5" w:rsidP="00AD7AD5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кв.2014г., %</w:t>
            </w:r>
          </w:p>
        </w:tc>
      </w:tr>
      <w:tr w:rsidR="00AD7AD5" w:rsidRPr="00AD7AD5" w:rsidTr="00AD7AD5">
        <w:trPr>
          <w:cnfStyle w:val="0000001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AD7AD5" w:rsidRPr="00AD7AD5" w:rsidRDefault="00AD7AD5" w:rsidP="00AD7A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Салаирский тракт</w:t>
            </w:r>
          </w:p>
        </w:tc>
        <w:tc>
          <w:tcPr>
            <w:tcW w:w="1680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2889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D7AD5" w:rsidRPr="00AD7AD5" w:rsidTr="00AD7AD5">
        <w:trPr>
          <w:cnfStyle w:val="00000001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AD7AD5" w:rsidRPr="00AD7AD5" w:rsidRDefault="00AD7AD5" w:rsidP="00AD7A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Московский тракт</w:t>
            </w:r>
          </w:p>
        </w:tc>
        <w:tc>
          <w:tcPr>
            <w:tcW w:w="1680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2889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</w:tr>
      <w:tr w:rsidR="00AD7AD5" w:rsidRPr="00AD7AD5" w:rsidTr="00AD7AD5">
        <w:trPr>
          <w:cnfStyle w:val="0000001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AD7AD5" w:rsidRPr="00AD7AD5" w:rsidRDefault="00AD7AD5" w:rsidP="00AD7A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Тюмень</w:t>
            </w:r>
          </w:p>
        </w:tc>
        <w:tc>
          <w:tcPr>
            <w:tcW w:w="1680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14,88</w:t>
            </w:r>
          </w:p>
        </w:tc>
        <w:tc>
          <w:tcPr>
            <w:tcW w:w="2889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AD7AD5" w:rsidRPr="00AD7AD5" w:rsidTr="00AD7AD5">
        <w:trPr>
          <w:cnfStyle w:val="00000001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AD7AD5" w:rsidRPr="00AD7AD5" w:rsidRDefault="00AD7AD5" w:rsidP="00AD7A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Велижанский тракт</w:t>
            </w:r>
          </w:p>
        </w:tc>
        <w:tc>
          <w:tcPr>
            <w:tcW w:w="1680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2889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AD7AD5" w:rsidRPr="00AD7AD5" w:rsidTr="00AD7AD5">
        <w:trPr>
          <w:cnfStyle w:val="0000001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AD7AD5" w:rsidRPr="00AD7AD5" w:rsidRDefault="00AD7AD5" w:rsidP="00AD7A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Ялуторовский тракт</w:t>
            </w:r>
          </w:p>
        </w:tc>
        <w:tc>
          <w:tcPr>
            <w:tcW w:w="1680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2889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AD7AD5" w:rsidRPr="00AD7AD5" w:rsidTr="00AD7AD5">
        <w:trPr>
          <w:cnfStyle w:val="00000001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AD7AD5" w:rsidRPr="00AD7AD5" w:rsidRDefault="00AD7AD5" w:rsidP="00AD7A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Ирбитский тракт</w:t>
            </w:r>
          </w:p>
        </w:tc>
        <w:tc>
          <w:tcPr>
            <w:tcW w:w="1680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2889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AD7AD5" w:rsidRPr="00AD7AD5" w:rsidTr="00AD7AD5">
        <w:trPr>
          <w:cnfStyle w:val="0000001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AD7AD5" w:rsidRPr="00AD7AD5" w:rsidRDefault="00AD7AD5" w:rsidP="00AD7A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Червишевский тракт</w:t>
            </w:r>
          </w:p>
        </w:tc>
        <w:tc>
          <w:tcPr>
            <w:tcW w:w="1680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2889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AD7AD5" w:rsidRPr="00AD7AD5" w:rsidTr="00AD7AD5">
        <w:trPr>
          <w:cnfStyle w:val="00000001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AD7AD5" w:rsidRPr="00AD7AD5" w:rsidRDefault="00AD7AD5" w:rsidP="00AD7A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Тобольский тракт</w:t>
            </w:r>
          </w:p>
        </w:tc>
        <w:tc>
          <w:tcPr>
            <w:tcW w:w="1680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2889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AD7AD5" w:rsidRPr="00AD7AD5" w:rsidTr="00AD7AD5">
        <w:trPr>
          <w:cnfStyle w:val="000000100000"/>
          <w:trHeight w:val="300"/>
        </w:trPr>
        <w:tc>
          <w:tcPr>
            <w:cnfStyle w:val="001000000000"/>
            <w:tcW w:w="3227" w:type="dxa"/>
            <w:noWrap/>
            <w:hideMark/>
          </w:tcPr>
          <w:p w:rsidR="00AD7AD5" w:rsidRPr="00AD7AD5" w:rsidRDefault="00AD7AD5" w:rsidP="00AD7A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Старый Тобольский тракт</w:t>
            </w:r>
          </w:p>
        </w:tc>
        <w:tc>
          <w:tcPr>
            <w:tcW w:w="1680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2889" w:type="dxa"/>
            <w:noWrap/>
            <w:hideMark/>
          </w:tcPr>
          <w:p w:rsidR="00AD7AD5" w:rsidRPr="00AD7AD5" w:rsidRDefault="00AD7AD5" w:rsidP="00AD7AD5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A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-2,8</w:t>
            </w:r>
          </w:p>
        </w:tc>
      </w:tr>
    </w:tbl>
    <w:p w:rsidR="00C45CAD" w:rsidRDefault="00C45CAD"/>
    <w:p w:rsidR="00C45CAD" w:rsidRDefault="00C45CAD">
      <w:r>
        <w:br w:type="page"/>
      </w:r>
    </w:p>
    <w:p w:rsidR="00F56332" w:rsidRDefault="00F563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Ценовая ситуация</w:t>
      </w:r>
    </w:p>
    <w:p w:rsidR="005D5383" w:rsidRPr="00050841" w:rsidRDefault="00050841" w:rsidP="00050841">
      <w:pPr>
        <w:jc w:val="both"/>
        <w:rPr>
          <w:rFonts w:ascii="Arial" w:hAnsi="Arial" w:cs="Arial"/>
          <w:sz w:val="20"/>
          <w:szCs w:val="20"/>
        </w:rPr>
      </w:pPr>
      <w:r w:rsidRPr="00050841">
        <w:rPr>
          <w:rFonts w:ascii="Arial" w:hAnsi="Arial" w:cs="Arial"/>
          <w:sz w:val="20"/>
          <w:szCs w:val="20"/>
        </w:rPr>
        <w:t xml:space="preserve">В целом на рынке загородной недвижимости не наблюдается значительных изменений цен. </w:t>
      </w:r>
      <w:r>
        <w:rPr>
          <w:rFonts w:ascii="Arial" w:hAnsi="Arial" w:cs="Arial"/>
          <w:sz w:val="20"/>
          <w:szCs w:val="20"/>
        </w:rPr>
        <w:t xml:space="preserve">Наибольшее изменение в 3 кв.2014г. по сравнению с предыдущим кварталом </w:t>
      </w:r>
      <w:r w:rsidR="00DE5912">
        <w:rPr>
          <w:rFonts w:ascii="Arial" w:hAnsi="Arial" w:cs="Arial"/>
          <w:sz w:val="20"/>
          <w:szCs w:val="20"/>
        </w:rPr>
        <w:t>наблюдается на таунхаусы (↓6,5%) за счет увеличения объема предложения на 5,9%. Остальные изменения не превышают ±2% (в пределах погрешности), что говорит о стабильной ситуации на рынке загородного жилья.</w:t>
      </w:r>
    </w:p>
    <w:p w:rsidR="00C45CAD" w:rsidRDefault="00C45CAD" w:rsidP="009D5B34">
      <w:pPr>
        <w:jc w:val="center"/>
        <w:rPr>
          <w:rFonts w:ascii="Arial" w:hAnsi="Arial" w:cs="Arial"/>
          <w:b/>
          <w:sz w:val="20"/>
          <w:szCs w:val="20"/>
        </w:rPr>
      </w:pPr>
      <w:r w:rsidRPr="00C45CA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276851" cy="277177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5912" w:rsidRDefault="00DE5912"/>
    <w:p w:rsidR="00771654" w:rsidRPr="004A5BBF" w:rsidRDefault="004A5BBF" w:rsidP="004A5BBF">
      <w:pPr>
        <w:pStyle w:val="1"/>
        <w:ind w:left="-284"/>
        <w:rPr>
          <w:rFonts w:ascii="Arial" w:hAnsi="Arial" w:cs="Arial"/>
          <w:color w:val="auto"/>
          <w:sz w:val="22"/>
          <w:szCs w:val="22"/>
        </w:rPr>
      </w:pPr>
      <w:bookmarkStart w:id="2" w:name="_Toc400983660"/>
      <w:bookmarkStart w:id="3" w:name="_Toc401047137"/>
      <w:r w:rsidRPr="004A5BBF">
        <w:rPr>
          <w:rFonts w:ascii="Arial" w:hAnsi="Arial" w:cs="Arial"/>
          <w:color w:val="auto"/>
          <w:sz w:val="22"/>
          <w:szCs w:val="22"/>
        </w:rPr>
        <w:t xml:space="preserve">2. </w:t>
      </w:r>
      <w:r w:rsidR="00771654" w:rsidRPr="004A5BBF">
        <w:rPr>
          <w:rFonts w:ascii="Arial" w:hAnsi="Arial" w:cs="Arial"/>
          <w:color w:val="auto"/>
          <w:sz w:val="22"/>
          <w:szCs w:val="22"/>
        </w:rPr>
        <w:t>ЗЕМЕЛЬНЫЕ УЧАСТКИ</w:t>
      </w:r>
      <w:bookmarkEnd w:id="2"/>
      <w:bookmarkEnd w:id="3"/>
    </w:p>
    <w:p w:rsidR="004A5BBF" w:rsidRDefault="004A5BBF" w:rsidP="00771654">
      <w:pPr>
        <w:ind w:left="-284"/>
        <w:rPr>
          <w:rFonts w:ascii="Arial" w:hAnsi="Arial" w:cs="Arial"/>
          <w:b/>
          <w:sz w:val="20"/>
          <w:szCs w:val="20"/>
        </w:rPr>
      </w:pPr>
    </w:p>
    <w:p w:rsidR="00771654" w:rsidRPr="00D866FE" w:rsidRDefault="00771654" w:rsidP="00771654">
      <w:pPr>
        <w:ind w:left="-284"/>
        <w:rPr>
          <w:rFonts w:ascii="Arial" w:hAnsi="Arial" w:cs="Arial"/>
          <w:b/>
          <w:sz w:val="20"/>
          <w:szCs w:val="20"/>
        </w:rPr>
      </w:pPr>
      <w:r w:rsidRPr="00D866FE">
        <w:rPr>
          <w:rFonts w:ascii="Arial" w:hAnsi="Arial" w:cs="Arial"/>
          <w:b/>
          <w:sz w:val="20"/>
          <w:szCs w:val="20"/>
        </w:rPr>
        <w:t>Объем предложения</w:t>
      </w:r>
    </w:p>
    <w:p w:rsidR="008B6E35" w:rsidRDefault="00AA125E" w:rsidP="00AA125E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Почти половина предложения на рынке загородного жилья - земельные участки (49,4%), объем предложения которых по сравнению со 2 кв.2014г. увеличился на 6,9%.</w:t>
      </w:r>
    </w:p>
    <w:p w:rsidR="00AA125E" w:rsidRPr="00AA125E" w:rsidRDefault="00AA125E" w:rsidP="00AA125E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Превалирующий объем предложения сосредоточен с районах Салаирского тракта (26%), Московского и Велижанского трактов (17% и 7% соответственно).</w:t>
      </w:r>
    </w:p>
    <w:p w:rsidR="00DE5912" w:rsidRDefault="00DE5912" w:rsidP="00DE5912">
      <w:pPr>
        <w:jc w:val="center"/>
      </w:pPr>
      <w:r w:rsidRPr="00DE5912">
        <w:rPr>
          <w:noProof/>
        </w:rPr>
        <w:drawing>
          <wp:inline distT="0" distB="0" distL="0" distR="0">
            <wp:extent cx="4829175" cy="276225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125E" w:rsidRDefault="00AA125E" w:rsidP="00AA125E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Ценовая ситуация</w:t>
      </w:r>
    </w:p>
    <w:p w:rsidR="0020580E" w:rsidRDefault="0020580E" w:rsidP="00606771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606771">
        <w:rPr>
          <w:rFonts w:ascii="Arial" w:hAnsi="Arial" w:cs="Arial"/>
          <w:sz w:val="20"/>
          <w:szCs w:val="20"/>
        </w:rPr>
        <w:t>разрезе по направлениям</w:t>
      </w:r>
      <w:r w:rsidR="00606771">
        <w:rPr>
          <w:rFonts w:ascii="Arial" w:hAnsi="Arial" w:cs="Arial"/>
          <w:sz w:val="20"/>
          <w:szCs w:val="20"/>
        </w:rPr>
        <w:t xml:space="preserve"> наибольшая</w:t>
      </w:r>
      <w:r>
        <w:rPr>
          <w:rFonts w:ascii="Arial" w:hAnsi="Arial" w:cs="Arial"/>
          <w:sz w:val="20"/>
          <w:szCs w:val="20"/>
        </w:rPr>
        <w:t xml:space="preserve"> </w:t>
      </w:r>
      <w:r w:rsidR="00606771">
        <w:rPr>
          <w:rFonts w:ascii="Arial" w:hAnsi="Arial" w:cs="Arial"/>
          <w:sz w:val="20"/>
          <w:szCs w:val="20"/>
        </w:rPr>
        <w:t>средняя цена предложения земельных участков сосредоточена в черте города Тюмени - 4743 тыс.руб. (темп прироста ко 2 кв.2014г - 35,7%↑ за счет выхода новых объектов с более высокой ценой и вымывания с рынка более дешевых). На втором месте - Ирбитский тракт со средней ценой 2139 тыс.руб. (↓16,2%).</w:t>
      </w:r>
    </w:p>
    <w:p w:rsidR="00606771" w:rsidRPr="0020580E" w:rsidRDefault="003D0C85" w:rsidP="00606771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Более доступные по цене земельный участки выставлены на продажу по Велижанскому и Салаирскому трактам - </w:t>
      </w:r>
      <w:r w:rsidR="006C0FBB">
        <w:rPr>
          <w:rFonts w:ascii="Arial" w:hAnsi="Arial" w:cs="Arial"/>
          <w:sz w:val="20"/>
          <w:szCs w:val="20"/>
        </w:rPr>
        <w:t xml:space="preserve">в среднем </w:t>
      </w:r>
      <w:r>
        <w:rPr>
          <w:rFonts w:ascii="Arial" w:hAnsi="Arial" w:cs="Arial"/>
          <w:sz w:val="20"/>
          <w:szCs w:val="20"/>
        </w:rPr>
        <w:t>771 и 814 тыс.руб. соответственно.</w:t>
      </w:r>
    </w:p>
    <w:p w:rsidR="00E2651D" w:rsidRDefault="00E2651D" w:rsidP="00AA125E">
      <w:pPr>
        <w:ind w:left="-284"/>
        <w:rPr>
          <w:rFonts w:ascii="Arial" w:hAnsi="Arial" w:cs="Arial"/>
          <w:b/>
          <w:sz w:val="20"/>
          <w:szCs w:val="20"/>
        </w:rPr>
      </w:pPr>
      <w:r w:rsidRPr="00E2651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943600" cy="3495675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7478" w:rsidRPr="004A5BBF" w:rsidRDefault="00607478" w:rsidP="00607478">
      <w:pPr>
        <w:pStyle w:val="1"/>
        <w:ind w:left="-284"/>
        <w:rPr>
          <w:rFonts w:ascii="Arial" w:hAnsi="Arial" w:cs="Arial"/>
          <w:color w:val="auto"/>
          <w:sz w:val="22"/>
          <w:szCs w:val="22"/>
        </w:rPr>
      </w:pPr>
      <w:bookmarkStart w:id="4" w:name="_Toc401047139"/>
      <w:bookmarkStart w:id="5" w:name="_Toc401047138"/>
      <w:r>
        <w:rPr>
          <w:rFonts w:ascii="Arial" w:hAnsi="Arial" w:cs="Arial"/>
          <w:color w:val="auto"/>
          <w:sz w:val="22"/>
          <w:szCs w:val="22"/>
        </w:rPr>
        <w:t>3</w:t>
      </w:r>
      <w:r w:rsidRPr="004A5BBF">
        <w:rPr>
          <w:rFonts w:ascii="Arial" w:hAnsi="Arial" w:cs="Arial"/>
          <w:color w:val="auto"/>
          <w:sz w:val="22"/>
          <w:szCs w:val="22"/>
        </w:rPr>
        <w:t>. ДОМА</w:t>
      </w:r>
      <w:bookmarkEnd w:id="4"/>
    </w:p>
    <w:p w:rsidR="00607478" w:rsidRDefault="00607478" w:rsidP="00607478">
      <w:pPr>
        <w:ind w:left="-284"/>
        <w:rPr>
          <w:rFonts w:ascii="Arial" w:hAnsi="Arial" w:cs="Arial"/>
          <w:b/>
          <w:sz w:val="20"/>
          <w:szCs w:val="20"/>
        </w:rPr>
      </w:pPr>
    </w:p>
    <w:p w:rsidR="00607478" w:rsidRDefault="00607478" w:rsidP="00607478">
      <w:pPr>
        <w:ind w:left="-284"/>
        <w:rPr>
          <w:rFonts w:ascii="Arial" w:hAnsi="Arial" w:cs="Arial"/>
          <w:b/>
          <w:sz w:val="20"/>
          <w:szCs w:val="20"/>
        </w:rPr>
      </w:pPr>
      <w:r w:rsidRPr="00D866FE">
        <w:rPr>
          <w:rFonts w:ascii="Arial" w:hAnsi="Arial" w:cs="Arial"/>
          <w:b/>
          <w:sz w:val="20"/>
          <w:szCs w:val="20"/>
        </w:rPr>
        <w:t>Объем предложения</w:t>
      </w:r>
    </w:p>
    <w:p w:rsidR="0089756B" w:rsidRDefault="0089756B" w:rsidP="0089756B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7B4D32">
        <w:rPr>
          <w:rFonts w:ascii="Arial" w:hAnsi="Arial" w:cs="Arial"/>
          <w:sz w:val="20"/>
          <w:szCs w:val="20"/>
        </w:rPr>
        <w:t>Наибольший прирост объема предложения в 3 кв.2014г. пришелся на д</w:t>
      </w:r>
      <w:r>
        <w:rPr>
          <w:rFonts w:ascii="Arial" w:hAnsi="Arial" w:cs="Arial"/>
          <w:sz w:val="20"/>
          <w:szCs w:val="20"/>
        </w:rPr>
        <w:t>ома</w:t>
      </w:r>
      <w:r w:rsidRPr="007B4D32">
        <w:rPr>
          <w:rFonts w:ascii="Arial" w:hAnsi="Arial" w:cs="Arial"/>
          <w:sz w:val="20"/>
          <w:szCs w:val="20"/>
        </w:rPr>
        <w:t>, по сравнению с прошлым кварталом</w:t>
      </w:r>
      <w:r>
        <w:rPr>
          <w:rFonts w:ascii="Arial" w:hAnsi="Arial" w:cs="Arial"/>
          <w:sz w:val="20"/>
          <w:szCs w:val="20"/>
        </w:rPr>
        <w:t xml:space="preserve"> </w:t>
      </w:r>
      <w:r w:rsidRPr="007B4D32">
        <w:rPr>
          <w:rFonts w:ascii="Arial" w:hAnsi="Arial" w:cs="Arial"/>
          <w:sz w:val="20"/>
          <w:szCs w:val="20"/>
        </w:rPr>
        <w:t>он составил</w:t>
      </w:r>
      <w:r>
        <w:rPr>
          <w:rFonts w:ascii="Arial" w:hAnsi="Arial" w:cs="Arial"/>
          <w:sz w:val="20"/>
          <w:szCs w:val="20"/>
        </w:rPr>
        <w:t xml:space="preserve"> </w:t>
      </w:r>
      <w:r w:rsidRPr="007B4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8,7%(↑).</w:t>
      </w:r>
    </w:p>
    <w:p w:rsidR="00607478" w:rsidRDefault="00607478" w:rsidP="0089756B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3B536F">
        <w:rPr>
          <w:rFonts w:ascii="Arial" w:hAnsi="Arial" w:cs="Arial"/>
          <w:sz w:val="20"/>
          <w:szCs w:val="20"/>
        </w:rPr>
        <w:t xml:space="preserve">Дома занимают порядка </w:t>
      </w:r>
      <w:r>
        <w:rPr>
          <w:rFonts w:ascii="Arial" w:hAnsi="Arial" w:cs="Arial"/>
          <w:sz w:val="20"/>
          <w:szCs w:val="20"/>
        </w:rPr>
        <w:t>23</w:t>
      </w:r>
      <w:r w:rsidRPr="003B536F">
        <w:rPr>
          <w:rFonts w:ascii="Arial" w:hAnsi="Arial" w:cs="Arial"/>
          <w:sz w:val="20"/>
          <w:szCs w:val="20"/>
        </w:rPr>
        <w:t xml:space="preserve">% в общем объеме предложения, из них превалирующая доля </w:t>
      </w:r>
      <w:r>
        <w:rPr>
          <w:rFonts w:ascii="Arial" w:hAnsi="Arial" w:cs="Arial"/>
          <w:sz w:val="20"/>
          <w:szCs w:val="20"/>
        </w:rPr>
        <w:t>в черте г.Тюмени (29%). Объем предложения в районах Московского и Ялуторовского трактов составил по 12% и далее в порядке убывания.</w:t>
      </w:r>
    </w:p>
    <w:p w:rsidR="00607478" w:rsidRPr="003B536F" w:rsidRDefault="00607478" w:rsidP="00607478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всех направлениях, кроме Тобольского тракта (где </w:t>
      </w:r>
      <w:r w:rsidR="00315358">
        <w:rPr>
          <w:rFonts w:ascii="Arial" w:hAnsi="Arial" w:cs="Arial"/>
          <w:sz w:val="20"/>
          <w:szCs w:val="20"/>
        </w:rPr>
        <w:t>предложение осталось</w:t>
      </w:r>
      <w:r>
        <w:rPr>
          <w:rFonts w:ascii="Arial" w:hAnsi="Arial" w:cs="Arial"/>
          <w:sz w:val="20"/>
          <w:szCs w:val="20"/>
        </w:rPr>
        <w:t xml:space="preserve"> неизменным), выявлено увеличение объема предложения. Наибольшие темпы прироста составили 21,7% и 18,9% по Ирбитскому и Велижанскому трактам соответственно. </w:t>
      </w:r>
    </w:p>
    <w:p w:rsidR="00607478" w:rsidRDefault="00607478" w:rsidP="00607478">
      <w:pPr>
        <w:jc w:val="center"/>
        <w:rPr>
          <w:b/>
        </w:rPr>
      </w:pPr>
      <w:r w:rsidRPr="003C0629">
        <w:rPr>
          <w:b/>
          <w:noProof/>
        </w:rPr>
        <w:lastRenderedPageBreak/>
        <w:drawing>
          <wp:inline distT="0" distB="0" distL="0" distR="0">
            <wp:extent cx="4886325" cy="283845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7478" w:rsidRDefault="00607478" w:rsidP="00607478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Ценовая ситуация</w:t>
      </w:r>
    </w:p>
    <w:p w:rsidR="00607478" w:rsidRDefault="00607478" w:rsidP="00607478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20580E">
        <w:rPr>
          <w:rFonts w:ascii="Arial" w:hAnsi="Arial" w:cs="Arial"/>
          <w:sz w:val="20"/>
          <w:szCs w:val="20"/>
        </w:rPr>
        <w:t>Средняя цен</w:t>
      </w:r>
      <w:r>
        <w:rPr>
          <w:rFonts w:ascii="Arial" w:hAnsi="Arial" w:cs="Arial"/>
          <w:sz w:val="20"/>
          <w:szCs w:val="20"/>
        </w:rPr>
        <w:t>а</w:t>
      </w:r>
      <w:r w:rsidRPr="0020580E">
        <w:rPr>
          <w:rFonts w:ascii="Arial" w:hAnsi="Arial" w:cs="Arial"/>
          <w:sz w:val="20"/>
          <w:szCs w:val="20"/>
        </w:rPr>
        <w:t xml:space="preserve"> домов в 3 кв.2014г. сложилась на уровне 3657 тыс.руб.</w:t>
      </w:r>
      <w:r>
        <w:rPr>
          <w:rFonts w:ascii="Arial" w:hAnsi="Arial" w:cs="Arial"/>
          <w:sz w:val="20"/>
          <w:szCs w:val="20"/>
        </w:rPr>
        <w:t>, темп прироста к прошлому кварталу - 2%</w:t>
      </w:r>
      <w:r w:rsidR="0089756B">
        <w:rPr>
          <w:rFonts w:ascii="Arial" w:hAnsi="Arial" w:cs="Arial"/>
          <w:sz w:val="20"/>
          <w:szCs w:val="20"/>
        </w:rPr>
        <w:t>(↓)</w:t>
      </w:r>
      <w:r>
        <w:rPr>
          <w:rFonts w:ascii="Arial" w:hAnsi="Arial" w:cs="Arial"/>
          <w:sz w:val="20"/>
          <w:szCs w:val="20"/>
        </w:rPr>
        <w:t>.</w:t>
      </w:r>
    </w:p>
    <w:p w:rsidR="00607478" w:rsidRPr="00C77635" w:rsidRDefault="00607478" w:rsidP="00607478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Наибольшая средняя цена домов сложилась в черте г.Тюмени - 4208 тыс.руб., на втором месте - по Ирбитскому тракту (4182 тыс.руб.). Наиболее доступные - в направлении Велижанского тракта (2657 тыс.руб.)</w:t>
      </w:r>
    </w:p>
    <w:p w:rsidR="00607478" w:rsidRDefault="00607478" w:rsidP="00607478">
      <w:pPr>
        <w:jc w:val="center"/>
        <w:rPr>
          <w:b/>
        </w:rPr>
      </w:pPr>
      <w:r w:rsidRPr="00D64DCA">
        <w:rPr>
          <w:b/>
          <w:noProof/>
        </w:rPr>
        <w:drawing>
          <wp:inline distT="0" distB="0" distL="0" distR="0">
            <wp:extent cx="5657850" cy="2981325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4D32" w:rsidRDefault="00607478" w:rsidP="007B4D32">
      <w:pPr>
        <w:pStyle w:val="1"/>
        <w:ind w:left="-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7B4D32" w:rsidRPr="00D64DCA">
        <w:rPr>
          <w:rFonts w:ascii="Arial" w:hAnsi="Arial" w:cs="Arial"/>
          <w:color w:val="auto"/>
          <w:sz w:val="22"/>
          <w:szCs w:val="22"/>
        </w:rPr>
        <w:t>. ДАЧИ</w:t>
      </w:r>
      <w:bookmarkEnd w:id="5"/>
    </w:p>
    <w:p w:rsidR="007B4D32" w:rsidRPr="007B4D32" w:rsidRDefault="007B4D32" w:rsidP="007B4D32"/>
    <w:p w:rsidR="007B4D32" w:rsidRDefault="007B4D32" w:rsidP="007B4D32">
      <w:pPr>
        <w:ind w:left="-284"/>
        <w:rPr>
          <w:rFonts w:ascii="Arial" w:hAnsi="Arial" w:cs="Arial"/>
          <w:b/>
          <w:sz w:val="20"/>
          <w:szCs w:val="20"/>
        </w:rPr>
      </w:pPr>
      <w:r w:rsidRPr="00D866FE">
        <w:rPr>
          <w:rFonts w:ascii="Arial" w:hAnsi="Arial" w:cs="Arial"/>
          <w:b/>
          <w:sz w:val="20"/>
          <w:szCs w:val="20"/>
        </w:rPr>
        <w:t>Объем предложения</w:t>
      </w:r>
    </w:p>
    <w:p w:rsidR="007B4D32" w:rsidRDefault="0089756B" w:rsidP="007B4D32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17,1% - доля объема предложения дач на рынке загородной недвижимости</w:t>
      </w:r>
      <w:r w:rsidR="00E877C6">
        <w:rPr>
          <w:rFonts w:ascii="Arial" w:hAnsi="Arial" w:cs="Arial"/>
          <w:sz w:val="20"/>
          <w:szCs w:val="20"/>
        </w:rPr>
        <w:t xml:space="preserve">. </w:t>
      </w:r>
      <w:r w:rsidR="007B4D32">
        <w:rPr>
          <w:rFonts w:ascii="Arial" w:hAnsi="Arial" w:cs="Arial"/>
          <w:sz w:val="20"/>
          <w:szCs w:val="20"/>
        </w:rPr>
        <w:t xml:space="preserve">Основные направления </w:t>
      </w:r>
      <w:r w:rsidR="00354D28">
        <w:rPr>
          <w:rFonts w:ascii="Arial" w:hAnsi="Arial" w:cs="Arial"/>
          <w:sz w:val="20"/>
          <w:szCs w:val="20"/>
        </w:rPr>
        <w:t xml:space="preserve">по наибольшему числу предложений - Салаирский тракт (31%), Велижанский тракт (19%), Ялуторовский тракт (17%) и Московский тракт - 16%. Объем предложения в остальных направлениях не превышает 7%. </w:t>
      </w:r>
      <w:r w:rsidR="00546B3F">
        <w:rPr>
          <w:rFonts w:ascii="Arial" w:hAnsi="Arial" w:cs="Arial"/>
          <w:sz w:val="20"/>
          <w:szCs w:val="20"/>
        </w:rPr>
        <w:t>По</w:t>
      </w:r>
      <w:r w:rsidR="00354D28">
        <w:rPr>
          <w:rFonts w:ascii="Arial" w:hAnsi="Arial" w:cs="Arial"/>
          <w:sz w:val="20"/>
          <w:szCs w:val="20"/>
        </w:rPr>
        <w:t xml:space="preserve"> Старому Тобольскому тракту</w:t>
      </w:r>
      <w:r w:rsidR="00546B3F">
        <w:rPr>
          <w:rFonts w:ascii="Arial" w:hAnsi="Arial" w:cs="Arial"/>
          <w:sz w:val="20"/>
          <w:szCs w:val="20"/>
        </w:rPr>
        <w:t xml:space="preserve"> объем предложения</w:t>
      </w:r>
      <w:r w:rsidR="00354D28">
        <w:rPr>
          <w:rFonts w:ascii="Arial" w:hAnsi="Arial" w:cs="Arial"/>
          <w:sz w:val="20"/>
          <w:szCs w:val="20"/>
        </w:rPr>
        <w:t xml:space="preserve"> в 3 кв.2014г. составил всего 0,1%.</w:t>
      </w:r>
    </w:p>
    <w:p w:rsidR="00354D28" w:rsidRDefault="00354D28" w:rsidP="007B4D32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Значительное увеличение объема предложения наблюдается по Московскому и Салаирскому тракту (7,5% и 6,8% соответственно).</w:t>
      </w:r>
    </w:p>
    <w:p w:rsidR="00354D28" w:rsidRPr="007B4D32" w:rsidRDefault="00354D28" w:rsidP="007B4D32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4D32" w:rsidRDefault="007B4D32" w:rsidP="009D5B34">
      <w:pPr>
        <w:jc w:val="center"/>
        <w:rPr>
          <w:b/>
        </w:rPr>
      </w:pPr>
      <w:r w:rsidRPr="00D77EDD">
        <w:rPr>
          <w:b/>
          <w:noProof/>
        </w:rPr>
        <w:drawing>
          <wp:inline distT="0" distB="0" distL="0" distR="0">
            <wp:extent cx="5048250" cy="2952750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7838" w:rsidRDefault="00037838" w:rsidP="003D0C85">
      <w:pPr>
        <w:ind w:left="-284"/>
        <w:rPr>
          <w:rFonts w:ascii="Arial" w:hAnsi="Arial" w:cs="Arial"/>
          <w:b/>
          <w:sz w:val="20"/>
          <w:szCs w:val="20"/>
        </w:rPr>
      </w:pPr>
    </w:p>
    <w:p w:rsidR="003D0C85" w:rsidRDefault="003D0C85" w:rsidP="003D0C85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Ценовая ситуация</w:t>
      </w:r>
    </w:p>
    <w:p w:rsidR="00507B52" w:rsidRPr="00507B52" w:rsidRDefault="00507B52" w:rsidP="00E877C6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507B52">
        <w:rPr>
          <w:rFonts w:ascii="Arial" w:hAnsi="Arial" w:cs="Arial"/>
          <w:sz w:val="20"/>
          <w:szCs w:val="20"/>
        </w:rPr>
        <w:t>Средняя цена предложения дач в 3 кв.2014г. составила 1382 тыс.руб., что на 11 тыс.руб. (0,8%) выше, чем в прошлом квартале.</w:t>
      </w:r>
      <w:r>
        <w:rPr>
          <w:rFonts w:ascii="Arial" w:hAnsi="Arial" w:cs="Arial"/>
          <w:sz w:val="20"/>
          <w:szCs w:val="20"/>
        </w:rPr>
        <w:t xml:space="preserve"> За три последних квартала наблюдается тенденция увеличения с небольшими темпами прироста.</w:t>
      </w:r>
    </w:p>
    <w:p w:rsidR="007B4D32" w:rsidRDefault="003D0C85" w:rsidP="00E877C6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3D0C85">
        <w:rPr>
          <w:rFonts w:ascii="Arial" w:hAnsi="Arial" w:cs="Arial"/>
          <w:sz w:val="20"/>
          <w:szCs w:val="20"/>
        </w:rPr>
        <w:t>Наибольший прирост средней цены предложения дач наблюдается в черте города Тюмени, в 3 кв.2014г. он составил порядка 39,1%</w:t>
      </w:r>
      <w:r>
        <w:rPr>
          <w:rFonts w:ascii="Arial" w:hAnsi="Arial" w:cs="Arial"/>
          <w:sz w:val="20"/>
          <w:szCs w:val="20"/>
        </w:rPr>
        <w:t xml:space="preserve"> (↑703 тыс.руб.)</w:t>
      </w:r>
      <w:r w:rsidR="00037838">
        <w:rPr>
          <w:rFonts w:ascii="Arial" w:hAnsi="Arial" w:cs="Arial"/>
          <w:sz w:val="20"/>
          <w:szCs w:val="20"/>
        </w:rPr>
        <w:t xml:space="preserve"> из-за вымывания с рынка более дешевых объектов.</w:t>
      </w:r>
    </w:p>
    <w:p w:rsidR="00037838" w:rsidRPr="003D0C85" w:rsidRDefault="00037838" w:rsidP="00E877C6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остальных направлениях не наблюдается значительных колебаний средних цен (увеличение средней цены дач по Старому Тобольскому тракту объясняется </w:t>
      </w:r>
      <w:r w:rsidR="00507B52">
        <w:rPr>
          <w:rFonts w:ascii="Arial" w:hAnsi="Arial" w:cs="Arial"/>
          <w:sz w:val="20"/>
          <w:szCs w:val="20"/>
        </w:rPr>
        <w:t>наличием небольшого объема предложения в связи с чем возникает наибольшая волотильность цены).</w:t>
      </w:r>
    </w:p>
    <w:p w:rsidR="00037838" w:rsidRPr="00E877C6" w:rsidRDefault="007B4D32" w:rsidP="00E877C6">
      <w:pPr>
        <w:tabs>
          <w:tab w:val="left" w:pos="3105"/>
        </w:tabs>
      </w:pPr>
      <w:r w:rsidRPr="00D77EDD">
        <w:rPr>
          <w:noProof/>
        </w:rPr>
        <w:drawing>
          <wp:inline distT="0" distB="0" distL="0" distR="0">
            <wp:extent cx="5940425" cy="3182655"/>
            <wp:effectExtent l="0" t="0" r="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037838">
        <w:rPr>
          <w:rFonts w:ascii="Arial" w:hAnsi="Arial" w:cs="Arial"/>
        </w:rPr>
        <w:br w:type="page"/>
      </w:r>
    </w:p>
    <w:p w:rsidR="000F4458" w:rsidRPr="000F4458" w:rsidRDefault="003B536F" w:rsidP="000F4458">
      <w:pPr>
        <w:pStyle w:val="1"/>
        <w:ind w:left="-284"/>
        <w:rPr>
          <w:rFonts w:ascii="Arial" w:hAnsi="Arial" w:cs="Arial"/>
          <w:color w:val="auto"/>
          <w:sz w:val="22"/>
          <w:szCs w:val="22"/>
        </w:rPr>
      </w:pPr>
      <w:bookmarkStart w:id="6" w:name="_Toc401047140"/>
      <w:r>
        <w:rPr>
          <w:rFonts w:ascii="Arial" w:hAnsi="Arial" w:cs="Arial"/>
          <w:color w:val="auto"/>
          <w:sz w:val="22"/>
          <w:szCs w:val="22"/>
        </w:rPr>
        <w:lastRenderedPageBreak/>
        <w:t>5</w:t>
      </w:r>
      <w:r w:rsidR="000F4458" w:rsidRPr="000F4458">
        <w:rPr>
          <w:rFonts w:ascii="Arial" w:hAnsi="Arial" w:cs="Arial"/>
          <w:color w:val="auto"/>
          <w:sz w:val="22"/>
          <w:szCs w:val="22"/>
        </w:rPr>
        <w:t>. КОТТЕДЖИ</w:t>
      </w:r>
      <w:bookmarkEnd w:id="6"/>
    </w:p>
    <w:p w:rsidR="000F4458" w:rsidRDefault="000F4458" w:rsidP="000F4458">
      <w:pPr>
        <w:ind w:left="-284"/>
        <w:rPr>
          <w:rFonts w:ascii="Arial" w:hAnsi="Arial" w:cs="Arial"/>
          <w:b/>
          <w:sz w:val="20"/>
          <w:szCs w:val="20"/>
        </w:rPr>
      </w:pPr>
    </w:p>
    <w:p w:rsidR="000F4458" w:rsidRDefault="000F4458" w:rsidP="000F4458">
      <w:pPr>
        <w:ind w:left="-284"/>
        <w:rPr>
          <w:rFonts w:ascii="Arial" w:hAnsi="Arial" w:cs="Arial"/>
          <w:b/>
          <w:sz w:val="20"/>
          <w:szCs w:val="20"/>
        </w:rPr>
      </w:pPr>
      <w:r w:rsidRPr="00D866FE">
        <w:rPr>
          <w:rFonts w:ascii="Arial" w:hAnsi="Arial" w:cs="Arial"/>
          <w:b/>
          <w:sz w:val="20"/>
          <w:szCs w:val="20"/>
        </w:rPr>
        <w:t>Объем предложения</w:t>
      </w:r>
    </w:p>
    <w:p w:rsidR="000F4458" w:rsidRDefault="00E877C6" w:rsidP="007718D5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Порядка 10% - доля </w:t>
      </w:r>
      <w:r w:rsidR="0063529C" w:rsidRPr="007718D5">
        <w:rPr>
          <w:rFonts w:ascii="Arial" w:hAnsi="Arial" w:cs="Arial"/>
          <w:sz w:val="20"/>
          <w:szCs w:val="20"/>
        </w:rPr>
        <w:t>коттеджей</w:t>
      </w:r>
      <w:r>
        <w:rPr>
          <w:rFonts w:ascii="Arial" w:hAnsi="Arial" w:cs="Arial"/>
          <w:sz w:val="20"/>
          <w:szCs w:val="20"/>
        </w:rPr>
        <w:t xml:space="preserve"> в общем объеме предложения</w:t>
      </w:r>
      <w:r w:rsidR="007718D5" w:rsidRPr="007718D5">
        <w:rPr>
          <w:rFonts w:ascii="Arial" w:hAnsi="Arial" w:cs="Arial"/>
          <w:sz w:val="20"/>
          <w:szCs w:val="20"/>
        </w:rPr>
        <w:t>, темп прироста к прошлому кварталу составил 1,6%.</w:t>
      </w:r>
    </w:p>
    <w:p w:rsidR="000F4458" w:rsidRDefault="009A3932" w:rsidP="009A3932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и дома, коттеджи в основном представлены в черте г.Тюмени (28%). </w:t>
      </w:r>
      <w:r w:rsidR="007718D5">
        <w:rPr>
          <w:rFonts w:ascii="Arial" w:hAnsi="Arial" w:cs="Arial"/>
          <w:sz w:val="20"/>
          <w:szCs w:val="20"/>
        </w:rPr>
        <w:t>Наибольший прирост объемов предложения прослеживается в направлениях Салаирского и Московского трактов.</w:t>
      </w:r>
    </w:p>
    <w:p w:rsidR="009A3932" w:rsidRPr="009A3932" w:rsidRDefault="009A3932" w:rsidP="009A3932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0F4458" w:rsidRDefault="000F4458" w:rsidP="00C77635">
      <w:pPr>
        <w:tabs>
          <w:tab w:val="left" w:pos="3105"/>
        </w:tabs>
        <w:jc w:val="center"/>
      </w:pPr>
      <w:r w:rsidRPr="000F4458">
        <w:rPr>
          <w:noProof/>
        </w:rPr>
        <w:drawing>
          <wp:inline distT="0" distB="0" distL="0" distR="0">
            <wp:extent cx="5010150" cy="2876550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3D6A" w:rsidRDefault="00DA3D6A" w:rsidP="003B536F">
      <w:pPr>
        <w:ind w:left="-284"/>
        <w:rPr>
          <w:rFonts w:ascii="Arial" w:hAnsi="Arial" w:cs="Arial"/>
          <w:b/>
          <w:sz w:val="20"/>
          <w:szCs w:val="20"/>
        </w:rPr>
      </w:pPr>
    </w:p>
    <w:p w:rsidR="003B536F" w:rsidRDefault="003B536F" w:rsidP="003B536F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Ценовая ситуация</w:t>
      </w:r>
    </w:p>
    <w:p w:rsidR="003B536F" w:rsidRDefault="009A3932" w:rsidP="009A3932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9A3932">
        <w:rPr>
          <w:rFonts w:ascii="Arial" w:hAnsi="Arial" w:cs="Arial"/>
          <w:sz w:val="20"/>
          <w:szCs w:val="20"/>
        </w:rPr>
        <w:t>В 3 кв.2014г. средняя цена предложения коттеджей составила 11116 тыс.руб. (↓ по сравнению в прошлым кварталом на 1,4% в пределах погрешности).</w:t>
      </w:r>
    </w:p>
    <w:p w:rsidR="009A3932" w:rsidRDefault="00CF6A5D" w:rsidP="009A3932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Наибольшее изменение средних цен коттеджей составило -9,6%(↓) по Велижанскому тракту</w:t>
      </w:r>
      <w:r w:rsidR="004713FE">
        <w:rPr>
          <w:rFonts w:ascii="Arial" w:hAnsi="Arial" w:cs="Arial"/>
          <w:sz w:val="20"/>
          <w:szCs w:val="20"/>
        </w:rPr>
        <w:t>, практически не изменилась цена в черте г.Тюмени (0,1%) и по Московскому тракту (-0,9%).</w:t>
      </w:r>
    </w:p>
    <w:p w:rsidR="000F4458" w:rsidRDefault="009D5B34" w:rsidP="00D77EDD">
      <w:pPr>
        <w:tabs>
          <w:tab w:val="left" w:pos="3105"/>
        </w:tabs>
      </w:pPr>
      <w:r w:rsidRPr="009D5B34">
        <w:rPr>
          <w:noProof/>
        </w:rPr>
        <w:drawing>
          <wp:inline distT="0" distB="0" distL="0" distR="0">
            <wp:extent cx="5940425" cy="3111534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713FE" w:rsidRPr="004713FE" w:rsidRDefault="004713FE" w:rsidP="004713FE">
      <w:pPr>
        <w:pStyle w:val="1"/>
        <w:ind w:left="-284"/>
        <w:rPr>
          <w:rFonts w:ascii="Arial" w:hAnsi="Arial" w:cs="Arial"/>
          <w:color w:val="auto"/>
          <w:sz w:val="22"/>
          <w:szCs w:val="22"/>
        </w:rPr>
      </w:pPr>
      <w:bookmarkStart w:id="7" w:name="_Toc401047141"/>
      <w:r w:rsidRPr="004713FE">
        <w:rPr>
          <w:rFonts w:ascii="Arial" w:hAnsi="Arial" w:cs="Arial"/>
          <w:color w:val="auto"/>
          <w:sz w:val="22"/>
          <w:szCs w:val="22"/>
        </w:rPr>
        <w:lastRenderedPageBreak/>
        <w:t>6. ТАУНХАУСЫ</w:t>
      </w:r>
      <w:bookmarkEnd w:id="7"/>
    </w:p>
    <w:p w:rsidR="004713FE" w:rsidRDefault="004713FE" w:rsidP="004713FE">
      <w:pPr>
        <w:ind w:left="-284"/>
        <w:rPr>
          <w:rFonts w:ascii="Arial" w:hAnsi="Arial" w:cs="Arial"/>
          <w:b/>
          <w:sz w:val="20"/>
          <w:szCs w:val="20"/>
        </w:rPr>
      </w:pPr>
    </w:p>
    <w:p w:rsidR="004713FE" w:rsidRDefault="004713FE" w:rsidP="004713FE">
      <w:pPr>
        <w:ind w:left="-284"/>
        <w:rPr>
          <w:rFonts w:ascii="Arial" w:hAnsi="Arial" w:cs="Arial"/>
          <w:b/>
          <w:sz w:val="20"/>
          <w:szCs w:val="20"/>
        </w:rPr>
      </w:pPr>
      <w:r w:rsidRPr="00D866FE">
        <w:rPr>
          <w:rFonts w:ascii="Arial" w:hAnsi="Arial" w:cs="Arial"/>
          <w:b/>
          <w:sz w:val="20"/>
          <w:szCs w:val="20"/>
        </w:rPr>
        <w:t>Объем предложения</w:t>
      </w:r>
    </w:p>
    <w:p w:rsidR="004713FE" w:rsidRDefault="004713FE" w:rsidP="00291A5D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291A5D">
        <w:rPr>
          <w:rFonts w:ascii="Arial" w:hAnsi="Arial" w:cs="Arial"/>
          <w:sz w:val="20"/>
          <w:szCs w:val="20"/>
        </w:rPr>
        <w:t>На 5,9% в 3 кв.2014г. увеличился объем предложения таунхаусов</w:t>
      </w:r>
      <w:r w:rsidR="00291A5D">
        <w:rPr>
          <w:rFonts w:ascii="Arial" w:hAnsi="Arial" w:cs="Arial"/>
          <w:sz w:val="20"/>
          <w:szCs w:val="20"/>
        </w:rPr>
        <w:t xml:space="preserve"> и его доля составила 1,1%. Более половины (52%) объема предложения сосредоточена в черте г.Тюмени, четверть предложения в районе Московского тракта.</w:t>
      </w:r>
    </w:p>
    <w:p w:rsidR="00291A5D" w:rsidRDefault="00291A5D" w:rsidP="00291A5D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Меньше всего объектов в районах Салаирского и Ялуторовского трактов -  по 1% в общем объеме предложения.</w:t>
      </w:r>
    </w:p>
    <w:p w:rsidR="00291A5D" w:rsidRPr="00291A5D" w:rsidRDefault="00291A5D" w:rsidP="00291A5D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4713FE" w:rsidRDefault="004713FE" w:rsidP="004713FE">
      <w:pPr>
        <w:tabs>
          <w:tab w:val="left" w:pos="3105"/>
        </w:tabs>
        <w:jc w:val="center"/>
      </w:pPr>
      <w:r w:rsidRPr="004713FE">
        <w:rPr>
          <w:noProof/>
        </w:rPr>
        <w:drawing>
          <wp:inline distT="0" distB="0" distL="0" distR="0">
            <wp:extent cx="5124450" cy="2771775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A3D6A" w:rsidRDefault="00DA3D6A" w:rsidP="004713FE">
      <w:pPr>
        <w:ind w:left="-284"/>
        <w:rPr>
          <w:rFonts w:ascii="Arial" w:hAnsi="Arial" w:cs="Arial"/>
          <w:b/>
          <w:sz w:val="20"/>
          <w:szCs w:val="20"/>
        </w:rPr>
      </w:pPr>
    </w:p>
    <w:p w:rsidR="004713FE" w:rsidRDefault="004713FE" w:rsidP="004713FE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Ценовая ситуация</w:t>
      </w:r>
    </w:p>
    <w:p w:rsidR="004713FE" w:rsidRDefault="00A115D9" w:rsidP="00D65E2B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9D1301">
        <w:rPr>
          <w:rFonts w:ascii="Arial" w:hAnsi="Arial" w:cs="Arial"/>
          <w:sz w:val="20"/>
          <w:szCs w:val="20"/>
        </w:rPr>
        <w:t>Увеличение объема п</w:t>
      </w:r>
      <w:r w:rsidR="009D1301" w:rsidRPr="009D1301">
        <w:rPr>
          <w:rFonts w:ascii="Arial" w:hAnsi="Arial" w:cs="Arial"/>
          <w:sz w:val="20"/>
          <w:szCs w:val="20"/>
        </w:rPr>
        <w:t>р</w:t>
      </w:r>
      <w:r w:rsidRPr="009D1301">
        <w:rPr>
          <w:rFonts w:ascii="Arial" w:hAnsi="Arial" w:cs="Arial"/>
          <w:sz w:val="20"/>
          <w:szCs w:val="20"/>
        </w:rPr>
        <w:t>едложения таунхаусов повлияло на снижение средней цены предложения</w:t>
      </w:r>
      <w:r w:rsidR="009D1301">
        <w:rPr>
          <w:rFonts w:ascii="Arial" w:hAnsi="Arial" w:cs="Arial"/>
          <w:sz w:val="20"/>
          <w:szCs w:val="20"/>
        </w:rPr>
        <w:t xml:space="preserve"> на 586 тыс.руб. (↓6,5%).</w:t>
      </w:r>
    </w:p>
    <w:p w:rsidR="009D1301" w:rsidRDefault="009D1301" w:rsidP="00D65E2B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направлении Червишевского тракта таунхаусы в среднем предлагались с ценой 10677 тыс.руб. (↓19,6%), в черте г.Тюмени - 11021 тыс.руб. (↓2,1%) и далее в порядке убывания. Только по Ирбитскому тракту в 3 кв.2014г. произошло увеличение средней цены таунхаусов на 9,3%.</w:t>
      </w:r>
    </w:p>
    <w:p w:rsidR="00D8247F" w:rsidRDefault="00D8247F" w:rsidP="00D65E2B">
      <w:pPr>
        <w:tabs>
          <w:tab w:val="left" w:pos="3105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115D9" w:rsidRPr="00D77EDD" w:rsidRDefault="00A115D9" w:rsidP="00A115D9">
      <w:pPr>
        <w:tabs>
          <w:tab w:val="left" w:pos="3105"/>
        </w:tabs>
        <w:ind w:left="-284"/>
        <w:jc w:val="center"/>
      </w:pPr>
      <w:r w:rsidRPr="00A115D9">
        <w:rPr>
          <w:noProof/>
        </w:rPr>
        <w:drawing>
          <wp:inline distT="0" distB="0" distL="0" distR="0">
            <wp:extent cx="5905500" cy="2695575"/>
            <wp:effectExtent l="0" t="0" r="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A115D9" w:rsidRPr="00D77EDD" w:rsidSect="008B6E35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D9" w:rsidRDefault="000905D9" w:rsidP="003C7084">
      <w:pPr>
        <w:spacing w:after="0" w:line="240" w:lineRule="auto"/>
      </w:pPr>
      <w:r>
        <w:separator/>
      </w:r>
    </w:p>
  </w:endnote>
  <w:endnote w:type="continuationSeparator" w:id="1">
    <w:p w:rsidR="000905D9" w:rsidRDefault="000905D9" w:rsidP="003C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D9" w:rsidRDefault="000905D9" w:rsidP="003C7084">
      <w:pPr>
        <w:spacing w:after="0" w:line="240" w:lineRule="auto"/>
      </w:pPr>
      <w:r>
        <w:separator/>
      </w:r>
    </w:p>
  </w:footnote>
  <w:footnote w:type="continuationSeparator" w:id="1">
    <w:p w:rsidR="000905D9" w:rsidRDefault="000905D9" w:rsidP="003C7084">
      <w:pPr>
        <w:spacing w:after="0" w:line="240" w:lineRule="auto"/>
      </w:pPr>
      <w:r>
        <w:continuationSeparator/>
      </w:r>
    </w:p>
  </w:footnote>
  <w:footnote w:id="2">
    <w:p w:rsidR="009A3932" w:rsidRPr="00D7176F" w:rsidRDefault="009A3932" w:rsidP="003C7084">
      <w:pPr>
        <w:pStyle w:val="a3"/>
        <w:rPr>
          <w:color w:val="244061" w:themeColor="accent1" w:themeShade="80"/>
        </w:rPr>
      </w:pPr>
      <w:r w:rsidRPr="00D7176F">
        <w:rPr>
          <w:rStyle w:val="a5"/>
          <w:color w:val="244061" w:themeColor="accent1" w:themeShade="80"/>
        </w:rPr>
        <w:footnoteRef/>
      </w:r>
      <w:r w:rsidRPr="00D7176F">
        <w:rPr>
          <w:color w:val="244061" w:themeColor="accent1" w:themeShade="80"/>
        </w:rPr>
        <w:t xml:space="preserve"> </w:t>
      </w:r>
      <w:r w:rsidRPr="00AF11A1">
        <w:rPr>
          <w:rFonts w:ascii="Arial" w:hAnsi="Arial" w:cs="Arial"/>
          <w:color w:val="244061" w:themeColor="accent1" w:themeShade="80"/>
          <w:sz w:val="18"/>
          <w:szCs w:val="18"/>
        </w:rPr>
        <w:t>О</w:t>
      </w:r>
      <w:r>
        <w:rPr>
          <w:rFonts w:ascii="Arial" w:hAnsi="Arial" w:cs="Arial"/>
          <w:color w:val="244061" w:themeColor="accent1" w:themeShade="80"/>
          <w:sz w:val="18"/>
          <w:szCs w:val="18"/>
        </w:rPr>
        <w:t>бзор</w:t>
      </w:r>
      <w:r w:rsidRPr="00AF11A1">
        <w:rPr>
          <w:rFonts w:ascii="Arial" w:hAnsi="Arial" w:cs="Arial"/>
          <w:color w:val="244061" w:themeColor="accent1" w:themeShade="80"/>
          <w:sz w:val="18"/>
          <w:szCs w:val="18"/>
        </w:rPr>
        <w:t xml:space="preserve"> подготовлен на основании базы компании "Этажи", по методологии Главного аналитика РГР Стерника Г.М.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1830"/>
      <w:docPartObj>
        <w:docPartGallery w:val="Page Numbers (Top of Page)"/>
        <w:docPartUnique/>
      </w:docPartObj>
    </w:sdtPr>
    <w:sdtContent>
      <w:p w:rsidR="009A3932" w:rsidRDefault="004E6FBF">
        <w:pPr>
          <w:pStyle w:val="a8"/>
          <w:jc w:val="right"/>
        </w:pPr>
        <w:fldSimple w:instr=" PAGE   \* MERGEFORMAT ">
          <w:r w:rsidR="00315358">
            <w:rPr>
              <w:noProof/>
            </w:rPr>
            <w:t>5</w:t>
          </w:r>
        </w:fldSimple>
      </w:p>
    </w:sdtContent>
  </w:sdt>
  <w:p w:rsidR="009A3932" w:rsidRDefault="009A39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1C41"/>
    <w:multiLevelType w:val="hybridMultilevel"/>
    <w:tmpl w:val="2BC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084"/>
    <w:rsid w:val="00037838"/>
    <w:rsid w:val="00050841"/>
    <w:rsid w:val="00056CE9"/>
    <w:rsid w:val="0008282F"/>
    <w:rsid w:val="000905D9"/>
    <w:rsid w:val="000F4458"/>
    <w:rsid w:val="00120183"/>
    <w:rsid w:val="001B096F"/>
    <w:rsid w:val="001D3BAE"/>
    <w:rsid w:val="0020580E"/>
    <w:rsid w:val="00207167"/>
    <w:rsid w:val="00220F6E"/>
    <w:rsid w:val="00280A0A"/>
    <w:rsid w:val="00291A5D"/>
    <w:rsid w:val="0029467D"/>
    <w:rsid w:val="00315358"/>
    <w:rsid w:val="00336BF2"/>
    <w:rsid w:val="00354D28"/>
    <w:rsid w:val="003655E1"/>
    <w:rsid w:val="003831E4"/>
    <w:rsid w:val="003A7FDD"/>
    <w:rsid w:val="003B536F"/>
    <w:rsid w:val="003C0629"/>
    <w:rsid w:val="003C7084"/>
    <w:rsid w:val="003D0C85"/>
    <w:rsid w:val="004713FE"/>
    <w:rsid w:val="004A5BBF"/>
    <w:rsid w:val="004C328F"/>
    <w:rsid w:val="004E6FBF"/>
    <w:rsid w:val="00500E60"/>
    <w:rsid w:val="00507B52"/>
    <w:rsid w:val="00546B3F"/>
    <w:rsid w:val="0055779F"/>
    <w:rsid w:val="005868C4"/>
    <w:rsid w:val="005D5383"/>
    <w:rsid w:val="00606771"/>
    <w:rsid w:val="006069A8"/>
    <w:rsid w:val="00607478"/>
    <w:rsid w:val="0063529C"/>
    <w:rsid w:val="006C0FBB"/>
    <w:rsid w:val="006D0AB8"/>
    <w:rsid w:val="00771654"/>
    <w:rsid w:val="007718D5"/>
    <w:rsid w:val="007B4D32"/>
    <w:rsid w:val="007C0EC5"/>
    <w:rsid w:val="007E0521"/>
    <w:rsid w:val="0089756B"/>
    <w:rsid w:val="008B6E35"/>
    <w:rsid w:val="009915AE"/>
    <w:rsid w:val="009A3932"/>
    <w:rsid w:val="009B3B20"/>
    <w:rsid w:val="009D1301"/>
    <w:rsid w:val="009D5B34"/>
    <w:rsid w:val="00A115D9"/>
    <w:rsid w:val="00A264DF"/>
    <w:rsid w:val="00AA125E"/>
    <w:rsid w:val="00AA34F9"/>
    <w:rsid w:val="00AC00AE"/>
    <w:rsid w:val="00AD7AD5"/>
    <w:rsid w:val="00B840A1"/>
    <w:rsid w:val="00C1368E"/>
    <w:rsid w:val="00C45CAD"/>
    <w:rsid w:val="00C7103E"/>
    <w:rsid w:val="00C77635"/>
    <w:rsid w:val="00CF6A5D"/>
    <w:rsid w:val="00D13C07"/>
    <w:rsid w:val="00D27706"/>
    <w:rsid w:val="00D64DCA"/>
    <w:rsid w:val="00D65E2B"/>
    <w:rsid w:val="00D77EDD"/>
    <w:rsid w:val="00D8247F"/>
    <w:rsid w:val="00DA3D6A"/>
    <w:rsid w:val="00DC40E2"/>
    <w:rsid w:val="00DD0264"/>
    <w:rsid w:val="00DE5912"/>
    <w:rsid w:val="00E2651D"/>
    <w:rsid w:val="00E877C6"/>
    <w:rsid w:val="00F56332"/>
    <w:rsid w:val="00F84387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F"/>
  </w:style>
  <w:style w:type="paragraph" w:styleId="1">
    <w:name w:val="heading 1"/>
    <w:basedOn w:val="a"/>
    <w:next w:val="a"/>
    <w:link w:val="10"/>
    <w:uiPriority w:val="9"/>
    <w:qFormat/>
    <w:rsid w:val="004A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70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70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708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0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E35"/>
  </w:style>
  <w:style w:type="paragraph" w:styleId="aa">
    <w:name w:val="footer"/>
    <w:basedOn w:val="a"/>
    <w:link w:val="ab"/>
    <w:uiPriority w:val="99"/>
    <w:semiHidden/>
    <w:unhideWhenUsed/>
    <w:rsid w:val="008B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6E35"/>
  </w:style>
  <w:style w:type="table" w:styleId="ac">
    <w:name w:val="Table Grid"/>
    <w:basedOn w:val="a1"/>
    <w:uiPriority w:val="59"/>
    <w:rsid w:val="004C3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4C3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4A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A5BB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A5BBF"/>
    <w:pPr>
      <w:spacing w:after="100"/>
    </w:pPr>
  </w:style>
  <w:style w:type="character" w:styleId="ae">
    <w:name w:val="Hyperlink"/>
    <w:basedOn w:val="a0"/>
    <w:uiPriority w:val="99"/>
    <w:unhideWhenUsed/>
    <w:rsid w:val="004A5BBF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26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.moiseeva\Desktop\&#1047;&#1040;&#1043;&#1054;&#1056;&#1054;&#1044;&#1050;&#1040;\3%20&#1050;&#1042;&#1040;&#1056;&#1058;&#1040;&#1051;%202014\&#1079;&#1072;&#1075;&#1086;&#1088;&#1086;&#1076;&#1085;&#1072;&#1103;,%203&#1082;&#1074;.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ru-RU" sz="1050">
                <a:latin typeface="Arial" pitchFamily="34" charset="0"/>
                <a:cs typeface="Arial" pitchFamily="34" charset="0"/>
              </a:rPr>
              <a:t>Сезонность на рынке загородной недвижимости (к янв.2013г)</a:t>
            </a:r>
          </a:p>
        </c:rich>
      </c:tx>
      <c:layout>
        <c:manualLayout>
          <c:xMode val="edge"/>
          <c:yMode val="edge"/>
          <c:x val="0.12386018353545222"/>
          <c:y val="1.5871359453562401E-3"/>
        </c:manualLayout>
      </c:layout>
    </c:title>
    <c:plotArea>
      <c:layout>
        <c:manualLayout>
          <c:layoutTarget val="inner"/>
          <c:xMode val="edge"/>
          <c:yMode val="edge"/>
          <c:x val="6.8918572678415196E-2"/>
          <c:y val="0.10789743192481922"/>
          <c:w val="0.91258514560679849"/>
          <c:h val="0.61107850799416263"/>
        </c:manualLayout>
      </c:layout>
      <c:lineChart>
        <c:grouping val="standard"/>
        <c:ser>
          <c:idx val="0"/>
          <c:order val="0"/>
          <c:tx>
            <c:strRef>
              <c:f>сезонность!$A$2</c:f>
              <c:strCache>
                <c:ptCount val="1"/>
                <c:pt idx="0">
                  <c:v>Индекс активности покупателей, %</c:v>
                </c:pt>
              </c:strCache>
            </c:strRef>
          </c:tx>
          <c:spPr>
            <a:ln w="19050">
              <a:prstDash val="sysDash"/>
            </a:ln>
          </c:spPr>
          <c:marker>
            <c:symbol val="circle"/>
            <c:size val="6"/>
          </c:marker>
          <c:cat>
            <c:numRef>
              <c:f>сезонность!$N$1:$AH$1</c:f>
              <c:numCache>
                <c:formatCode>mmm/yy</c:formatCode>
                <c:ptCount val="21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</c:numCache>
            </c:numRef>
          </c:cat>
          <c:val>
            <c:numRef>
              <c:f>сезонность!$N$4:$AH$4</c:f>
              <c:numCache>
                <c:formatCode>0</c:formatCode>
                <c:ptCount val="21"/>
                <c:pt idx="0" formatCode="General">
                  <c:v>100</c:v>
                </c:pt>
                <c:pt idx="1">
                  <c:v>100</c:v>
                </c:pt>
                <c:pt idx="2">
                  <c:v>161.01694915254237</c:v>
                </c:pt>
                <c:pt idx="3">
                  <c:v>151.9774011299435</c:v>
                </c:pt>
                <c:pt idx="4">
                  <c:v>184.18079096045196</c:v>
                </c:pt>
                <c:pt idx="5">
                  <c:v>134.46327683615812</c:v>
                </c:pt>
                <c:pt idx="6">
                  <c:v>149.15254237288141</c:v>
                </c:pt>
                <c:pt idx="7">
                  <c:v>183.61581920903956</c:v>
                </c:pt>
                <c:pt idx="8">
                  <c:v>150.84745762711862</c:v>
                </c:pt>
                <c:pt idx="9">
                  <c:v>219.77401129943459</c:v>
                </c:pt>
                <c:pt idx="10">
                  <c:v>165.53672316384097</c:v>
                </c:pt>
                <c:pt idx="11">
                  <c:v>104.51977401129938</c:v>
                </c:pt>
                <c:pt idx="12">
                  <c:v>212.99435028248587</c:v>
                </c:pt>
                <c:pt idx="13">
                  <c:v>190.96045197740156</c:v>
                </c:pt>
                <c:pt idx="14">
                  <c:v>264.40677966101669</c:v>
                </c:pt>
                <c:pt idx="15">
                  <c:v>244.06779661016949</c:v>
                </c:pt>
                <c:pt idx="16">
                  <c:v>225.42372881355976</c:v>
                </c:pt>
                <c:pt idx="17">
                  <c:v>177.40112994350284</c:v>
                </c:pt>
                <c:pt idx="18">
                  <c:v>202.25988700564969</c:v>
                </c:pt>
                <c:pt idx="19">
                  <c:v>235.59322033898349</c:v>
                </c:pt>
                <c:pt idx="20">
                  <c:v>213.55932203389833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сезонность!$A$3</c:f>
              <c:strCache>
                <c:ptCount val="1"/>
                <c:pt idx="0">
                  <c:v>Индекс активности продавцов, %</c:v>
                </c:pt>
              </c:strCache>
            </c:strRef>
          </c:tx>
          <c:spPr>
            <a:ln w="19050">
              <a:prstDash val="lgDash"/>
            </a:ln>
          </c:spPr>
          <c:marker>
            <c:symbol val="circle"/>
            <c:size val="6"/>
          </c:marker>
          <c:cat>
            <c:numRef>
              <c:f>сезонность!$N$1:$AH$1</c:f>
              <c:numCache>
                <c:formatCode>mmm/yy</c:formatCode>
                <c:ptCount val="21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</c:numCache>
            </c:numRef>
          </c:cat>
          <c:val>
            <c:numRef>
              <c:f>сезонность!$N$5:$AH$5</c:f>
              <c:numCache>
                <c:formatCode>0</c:formatCode>
                <c:ptCount val="21"/>
                <c:pt idx="0" formatCode="General">
                  <c:v>100</c:v>
                </c:pt>
                <c:pt idx="1">
                  <c:v>135.55555555555532</c:v>
                </c:pt>
                <c:pt idx="2">
                  <c:v>187.40740740740816</c:v>
                </c:pt>
                <c:pt idx="3">
                  <c:v>231.11111111111092</c:v>
                </c:pt>
                <c:pt idx="4">
                  <c:v>200</c:v>
                </c:pt>
                <c:pt idx="5">
                  <c:v>180.74074074074031</c:v>
                </c:pt>
                <c:pt idx="6">
                  <c:v>200.74074074074034</c:v>
                </c:pt>
                <c:pt idx="7">
                  <c:v>200.74074074074034</c:v>
                </c:pt>
                <c:pt idx="8">
                  <c:v>160</c:v>
                </c:pt>
                <c:pt idx="9">
                  <c:v>142.96296296296296</c:v>
                </c:pt>
                <c:pt idx="10">
                  <c:v>128.88888888888962</c:v>
                </c:pt>
                <c:pt idx="11">
                  <c:v>77.037037037037038</c:v>
                </c:pt>
                <c:pt idx="12">
                  <c:v>130.37037037037041</c:v>
                </c:pt>
                <c:pt idx="13">
                  <c:v>129.62962962962962</c:v>
                </c:pt>
                <c:pt idx="14">
                  <c:v>191.85185185185185</c:v>
                </c:pt>
                <c:pt idx="15">
                  <c:v>195.55555555555532</c:v>
                </c:pt>
                <c:pt idx="16">
                  <c:v>244.44444444444446</c:v>
                </c:pt>
                <c:pt idx="17">
                  <c:v>194.07407407407365</c:v>
                </c:pt>
                <c:pt idx="18">
                  <c:v>178.51851851851853</c:v>
                </c:pt>
                <c:pt idx="19">
                  <c:v>176.2962962962963</c:v>
                </c:pt>
                <c:pt idx="20">
                  <c:v>151.85185185185185</c:v>
                </c:pt>
              </c:numCache>
            </c:numRef>
          </c:val>
          <c:smooth val="1"/>
        </c:ser>
        <c:marker val="1"/>
        <c:axId val="81569280"/>
        <c:axId val="82055552"/>
      </c:lineChart>
      <c:dateAx>
        <c:axId val="81569280"/>
        <c:scaling>
          <c:orientation val="minMax"/>
        </c:scaling>
        <c:axPos val="b"/>
        <c:numFmt formatCode="mmm/yy" sourceLinked="1"/>
        <c:majorTickMark val="none"/>
        <c:tickLblPos val="nextTo"/>
        <c:txPr>
          <a:bodyPr rot="-540000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2055552"/>
        <c:crosses val="autoZero"/>
        <c:auto val="1"/>
        <c:lblOffset val="100"/>
      </c:dateAx>
      <c:valAx>
        <c:axId val="82055552"/>
        <c:scaling>
          <c:orientation val="minMax"/>
          <c:max val="35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15692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1203533974542822E-2"/>
          <c:y val="0.93484095061021999"/>
          <c:w val="0.95277174729896563"/>
          <c:h val="4.8716631433006544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ru-RU" sz="1050">
                <a:latin typeface="Arial" pitchFamily="34" charset="0"/>
                <a:cs typeface="Arial" pitchFamily="34" charset="0"/>
              </a:rPr>
              <a:t>Динамика средней цены дач в разрезе по трактам, тыс.руб.</a:t>
            </a:r>
          </a:p>
        </c:rich>
      </c:tx>
      <c:layout>
        <c:manualLayout>
          <c:xMode val="edge"/>
          <c:yMode val="edge"/>
          <c:x val="0.22091316710411199"/>
          <c:y val="1.687168270632838E-2"/>
        </c:manualLayout>
      </c:layout>
    </c:title>
    <c:plotArea>
      <c:layout>
        <c:manualLayout>
          <c:layoutTarget val="inner"/>
          <c:xMode val="edge"/>
          <c:yMode val="edge"/>
          <c:x val="6.8918572678415196E-2"/>
          <c:y val="0.10789743192481922"/>
          <c:w val="0.86893435195600555"/>
          <c:h val="0.57932750072907568"/>
        </c:manualLayout>
      </c:layout>
      <c:barChart>
        <c:barDir val="col"/>
        <c:grouping val="clustered"/>
        <c:ser>
          <c:idx val="0"/>
          <c:order val="0"/>
          <c:tx>
            <c:strRef>
              <c:f>дачи!$C$24</c:f>
              <c:strCache>
                <c:ptCount val="1"/>
                <c:pt idx="0">
                  <c:v>2 кв.2014</c:v>
                </c:pt>
              </c:strCache>
            </c:strRef>
          </c:tx>
          <c:dLbls>
            <c:dLbl>
              <c:idx val="1"/>
              <c:layout>
                <c:manualLayout>
                  <c:x val="-7.9365079365079413E-3"/>
                  <c:y val="1.2944980520097718E-2"/>
                </c:manualLayout>
              </c:layout>
              <c:showVal val="1"/>
            </c:dLbl>
            <c:dLbl>
              <c:idx val="4"/>
              <c:layout>
                <c:manualLayout>
                  <c:x val="-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9.9206349206349981E-3"/>
                  <c:y val="3.2362451300244227E-3"/>
                </c:manualLayout>
              </c:layout>
              <c:showVal val="1"/>
            </c:dLbl>
            <c:dLbl>
              <c:idx val="6"/>
              <c:layout>
                <c:manualLayout>
                  <c:x val="-1.9841269841269988E-3"/>
                  <c:y val="9.7087353900732892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дома!$A$24:$A$32</c:f>
              <c:strCache>
                <c:ptCount val="9"/>
                <c:pt idx="0">
                  <c:v>черта г.Тюмень</c:v>
                </c:pt>
                <c:pt idx="1">
                  <c:v>Ирбитский тракт</c:v>
                </c:pt>
                <c:pt idx="2">
                  <c:v>Салаирский тракт</c:v>
                </c:pt>
                <c:pt idx="3">
                  <c:v>Московский тракт</c:v>
                </c:pt>
                <c:pt idx="4">
                  <c:v>Старый Тобольский тракт</c:v>
                </c:pt>
                <c:pt idx="5">
                  <c:v>Ялуторовский тракт</c:v>
                </c:pt>
                <c:pt idx="6">
                  <c:v>Тобольский тракт</c:v>
                </c:pt>
                <c:pt idx="7">
                  <c:v>Червишевский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дачи!$C$25:$C$32</c:f>
              <c:numCache>
                <c:formatCode>0</c:formatCode>
                <c:ptCount val="8"/>
                <c:pt idx="0">
                  <c:v>1797</c:v>
                </c:pt>
                <c:pt idx="1">
                  <c:v>1600.2354570637162</c:v>
                </c:pt>
                <c:pt idx="2">
                  <c:v>1412.9054054054061</c:v>
                </c:pt>
                <c:pt idx="3">
                  <c:v>1387.7854671280281</c:v>
                </c:pt>
                <c:pt idx="4">
                  <c:v>1341.25</c:v>
                </c:pt>
                <c:pt idx="5">
                  <c:v>1301.8620689655172</c:v>
                </c:pt>
                <c:pt idx="6">
                  <c:v>1240.9420289855072</c:v>
                </c:pt>
                <c:pt idx="7">
                  <c:v>1004.2744063324545</c:v>
                </c:pt>
              </c:numCache>
            </c:numRef>
          </c:val>
        </c:ser>
        <c:ser>
          <c:idx val="1"/>
          <c:order val="1"/>
          <c:tx>
            <c:strRef>
              <c:f>дачи!$D$24</c:f>
              <c:strCache>
                <c:ptCount val="1"/>
                <c:pt idx="0">
                  <c:v>3 кв.2014</c:v>
                </c:pt>
              </c:strCache>
            </c:strRef>
          </c:tx>
          <c:dLbls>
            <c:dLbl>
              <c:idx val="0"/>
              <c:layout>
                <c:manualLayout>
                  <c:x val="1.785714285714285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841269841269988E-3"/>
                  <c:y val="-1.6181225650122266E-2"/>
                </c:manualLayout>
              </c:layout>
              <c:showVal val="1"/>
            </c:dLbl>
            <c:dLbl>
              <c:idx val="2"/>
              <c:layout>
                <c:manualLayout>
                  <c:x val="5.9523809523809521E-3"/>
                  <c:y val="9.7087353900732892E-3"/>
                </c:manualLayout>
              </c:layout>
              <c:showVal val="1"/>
            </c:dLbl>
            <c:dLbl>
              <c:idx val="3"/>
              <c:layout>
                <c:manualLayout>
                  <c:x val="1.7857142857142856E-2"/>
                  <c:y val="9.7084805676221266E-3"/>
                </c:manualLayout>
              </c:layout>
              <c:showVal val="1"/>
            </c:dLbl>
            <c:dLbl>
              <c:idx val="4"/>
              <c:layout>
                <c:manualLayout>
                  <c:x val="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190476190476192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9.9206349206349981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7857142857142856E-2"/>
                  <c:y val="3.2362451300244227E-3"/>
                </c:manualLayout>
              </c:layout>
              <c:showVal val="1"/>
            </c:dLbl>
            <c:dLbl>
              <c:idx val="8"/>
              <c:layout>
                <c:manualLayout>
                  <c:x val="9.9206349206349981E-3"/>
                  <c:y val="-2.9665237663201304E-17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дома!$A$24:$A$32</c:f>
              <c:strCache>
                <c:ptCount val="9"/>
                <c:pt idx="0">
                  <c:v>черта г.Тюмень</c:v>
                </c:pt>
                <c:pt idx="1">
                  <c:v>Ирбитский тракт</c:v>
                </c:pt>
                <c:pt idx="2">
                  <c:v>Салаирский тракт</c:v>
                </c:pt>
                <c:pt idx="3">
                  <c:v>Московский тракт</c:v>
                </c:pt>
                <c:pt idx="4">
                  <c:v>Старый Тобольский тракт</c:v>
                </c:pt>
                <c:pt idx="5">
                  <c:v>Ялуторовский тракт</c:v>
                </c:pt>
                <c:pt idx="6">
                  <c:v>Тобольский тракт</c:v>
                </c:pt>
                <c:pt idx="7">
                  <c:v>Червишевский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дачи!$D$25:$D$32</c:f>
              <c:numCache>
                <c:formatCode>0</c:formatCode>
                <c:ptCount val="8"/>
                <c:pt idx="0">
                  <c:v>2500</c:v>
                </c:pt>
                <c:pt idx="1">
                  <c:v>1593.9971346704872</c:v>
                </c:pt>
                <c:pt idx="2">
                  <c:v>1397.5633802816899</c:v>
                </c:pt>
                <c:pt idx="3">
                  <c:v>1404.6278317152103</c:v>
                </c:pt>
                <c:pt idx="4">
                  <c:v>1442.0408163265306</c:v>
                </c:pt>
                <c:pt idx="5">
                  <c:v>1262.5608974358975</c:v>
                </c:pt>
                <c:pt idx="6">
                  <c:v>1241.2213740458008</c:v>
                </c:pt>
                <c:pt idx="7">
                  <c:v>1052.9069767441908</c:v>
                </c:pt>
              </c:numCache>
            </c:numRef>
          </c:val>
        </c:ser>
        <c:overlap val="-16"/>
        <c:axId val="81548416"/>
        <c:axId val="81549952"/>
      </c:barChart>
      <c:lineChart>
        <c:grouping val="standard"/>
        <c:ser>
          <c:idx val="2"/>
          <c:order val="2"/>
          <c:tx>
            <c:strRef>
              <c:f>дачи!$E$24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prstDash val="dashDot"/>
            </a:ln>
          </c:spPr>
          <c:marker>
            <c:symbol val="circle"/>
            <c:size val="7"/>
            <c:spPr>
              <a:solidFill>
                <a:schemeClr val="accent3">
                  <a:lumMod val="60000"/>
                  <a:lumOff val="40000"/>
                </a:schemeClr>
              </a:solidFill>
            </c:spPr>
          </c:marker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дома!$A$24:$A$32</c:f>
              <c:strCache>
                <c:ptCount val="9"/>
                <c:pt idx="0">
                  <c:v>черта г.Тюмень</c:v>
                </c:pt>
                <c:pt idx="1">
                  <c:v>Ирбитский тракт</c:v>
                </c:pt>
                <c:pt idx="2">
                  <c:v>Салаирский тракт</c:v>
                </c:pt>
                <c:pt idx="3">
                  <c:v>Московский тракт</c:v>
                </c:pt>
                <c:pt idx="4">
                  <c:v>Старый Тобольский тракт</c:v>
                </c:pt>
                <c:pt idx="5">
                  <c:v>Ялуторовский тракт</c:v>
                </c:pt>
                <c:pt idx="6">
                  <c:v>Тобольский тракт</c:v>
                </c:pt>
                <c:pt idx="7">
                  <c:v>Червишевский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дачи!$E$25:$E$32</c:f>
              <c:numCache>
                <c:formatCode>0.0</c:formatCode>
                <c:ptCount val="8"/>
                <c:pt idx="0">
                  <c:v>39.120756816917208</c:v>
                </c:pt>
                <c:pt idx="1">
                  <c:v>-0.38983778078955011</c:v>
                </c:pt>
                <c:pt idx="2">
                  <c:v>-1.0858494181578464</c:v>
                </c:pt>
                <c:pt idx="3">
                  <c:v>1.2136144228428518</c:v>
                </c:pt>
                <c:pt idx="4">
                  <c:v>7.5146927363676213</c:v>
                </c:pt>
                <c:pt idx="5">
                  <c:v>-3.0188429685833795</c:v>
                </c:pt>
                <c:pt idx="6">
                  <c:v>2.2510726026638388E-2</c:v>
                </c:pt>
                <c:pt idx="7">
                  <c:v>4.8425579806753376</c:v>
                </c:pt>
              </c:numCache>
            </c:numRef>
          </c:val>
          <c:smooth val="1"/>
        </c:ser>
        <c:marker val="1"/>
        <c:axId val="82213120"/>
        <c:axId val="82211584"/>
      </c:lineChart>
      <c:catAx>
        <c:axId val="81548416"/>
        <c:scaling>
          <c:orientation val="minMax"/>
        </c:scaling>
        <c:axPos val="b"/>
        <c:majorTickMark val="none"/>
        <c:tickLblPos val="nextTo"/>
        <c:txPr>
          <a:bodyPr rot="-204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1549952"/>
        <c:crosses val="autoZero"/>
        <c:auto val="1"/>
        <c:lblAlgn val="ctr"/>
        <c:lblOffset val="100"/>
      </c:catAx>
      <c:valAx>
        <c:axId val="81549952"/>
        <c:scaling>
          <c:orientation val="minMax"/>
          <c:max val="300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5.0442518843348974E-3"/>
              <c:y val="4.1855934746304578E-2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1548416"/>
        <c:crosses val="autoZero"/>
        <c:crossBetween val="between"/>
      </c:valAx>
      <c:valAx>
        <c:axId val="82211584"/>
        <c:scaling>
          <c:orientation val="minMax"/>
          <c:max val="50"/>
          <c:min val="-30"/>
        </c:scaling>
        <c:axPos val="r"/>
        <c:numFmt formatCode="0.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2213120"/>
        <c:crosses val="max"/>
        <c:crossBetween val="between"/>
      </c:valAx>
      <c:catAx>
        <c:axId val="82213120"/>
        <c:scaling>
          <c:orientation val="minMax"/>
        </c:scaling>
        <c:delete val="1"/>
        <c:axPos val="b"/>
        <c:tickLblPos val="nextTo"/>
        <c:crossAx val="8221158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32135747863157937"/>
          <c:y val="0.10803967128073914"/>
          <c:w val="0.58817761355458775"/>
          <c:h val="8.75869360643865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ru-RU" sz="1000">
                <a:latin typeface="Arial" pitchFamily="34" charset="0"/>
                <a:cs typeface="Arial" pitchFamily="34" charset="0"/>
              </a:rPr>
              <a:t>Структура предложения коттеджей по направлениям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ru-RU" sz="1000">
                <a:latin typeface="Arial" pitchFamily="34" charset="0"/>
                <a:cs typeface="Arial" pitchFamily="34" charset="0"/>
              </a:rPr>
              <a:t>
</a:t>
            </a:r>
          </a:p>
        </c:rich>
      </c:tx>
      <c:layout>
        <c:manualLayout>
          <c:xMode val="edge"/>
          <c:yMode val="edge"/>
          <c:x val="0.15670049798908248"/>
          <c:y val="4.1278615007560955E-3"/>
        </c:manualLayout>
      </c:layout>
    </c:title>
    <c:plotArea>
      <c:layout>
        <c:manualLayout>
          <c:layoutTarget val="inner"/>
          <c:xMode val="edge"/>
          <c:yMode val="edge"/>
          <c:x val="0.36086956102964651"/>
          <c:y val="0.28527673964611283"/>
          <c:w val="0.4221656787283613"/>
          <c:h val="0.5852452555580116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9271878087482456E-2"/>
                  <c:y val="0.1493546088195929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862520166630548E-2"/>
                  <c:y val="3.376450558315841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6.2929133858267719E-2"/>
                  <c:y val="-6.191952477008516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0811827879313274"/>
                  <c:y val="-2.822555218889583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40944939511893"/>
                  <c:y val="-7.9058719211694724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8483179146332976"/>
                  <c:y val="-1.3632997862022215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5621129107910992"/>
                  <c:y val="-4.2043767707844494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0581120325738752"/>
                  <c:y val="-1.7216457214371383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31755835653623143"/>
                  <c:y val="5.5979906485199286E-2"/>
                </c:manualLayout>
              </c:layout>
              <c:showCatName val="1"/>
              <c:showPercent val="1"/>
            </c:dLbl>
            <c:spPr>
              <a:ln>
                <a:solidFill>
                  <a:schemeClr val="bg1">
                    <a:lumMod val="85000"/>
                  </a:schemeClr>
                </a:solidFill>
              </a:ln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дома!$A$3:$A$11</c:f>
              <c:strCache>
                <c:ptCount val="9"/>
                <c:pt idx="0">
                  <c:v>черта г.Тюмень</c:v>
                </c:pt>
                <c:pt idx="1">
                  <c:v>Московский тракт</c:v>
                </c:pt>
                <c:pt idx="2">
                  <c:v>Червишевский тракт</c:v>
                </c:pt>
                <c:pt idx="3">
                  <c:v>Велижанский тракт</c:v>
                </c:pt>
                <c:pt idx="4">
                  <c:v>Салаирский тракт</c:v>
                </c:pt>
                <c:pt idx="5">
                  <c:v>Ялуторовский тракт</c:v>
                </c:pt>
                <c:pt idx="6">
                  <c:v>Ирбитский тракт</c:v>
                </c:pt>
                <c:pt idx="7">
                  <c:v>Тобольский тракт</c:v>
                </c:pt>
                <c:pt idx="8">
                  <c:v>Старый Тобольский тракт</c:v>
                </c:pt>
              </c:strCache>
            </c:strRef>
          </c:cat>
          <c:val>
            <c:numRef>
              <c:f>коттеджи!$B$3:$B$11</c:f>
              <c:numCache>
                <c:formatCode>General</c:formatCode>
                <c:ptCount val="9"/>
                <c:pt idx="0">
                  <c:v>330</c:v>
                </c:pt>
                <c:pt idx="1">
                  <c:v>231</c:v>
                </c:pt>
                <c:pt idx="2">
                  <c:v>161</c:v>
                </c:pt>
                <c:pt idx="3">
                  <c:v>38</c:v>
                </c:pt>
                <c:pt idx="4">
                  <c:v>154</c:v>
                </c:pt>
                <c:pt idx="5">
                  <c:v>124</c:v>
                </c:pt>
                <c:pt idx="6">
                  <c:v>83</c:v>
                </c:pt>
                <c:pt idx="7">
                  <c:v>19</c:v>
                </c:pt>
                <c:pt idx="8">
                  <c:v>28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ru-RU" sz="1050">
                <a:latin typeface="Arial" pitchFamily="34" charset="0"/>
                <a:cs typeface="Arial" pitchFamily="34" charset="0"/>
              </a:rPr>
              <a:t>Динамика средней цены коттеджей в разрезе по трактам, тыс.руб.</a:t>
            </a:r>
          </a:p>
        </c:rich>
      </c:tx>
      <c:layout>
        <c:manualLayout>
          <c:xMode val="edge"/>
          <c:yMode val="edge"/>
          <c:x val="0.12964332583427071"/>
          <c:y val="1.039930423277929E-2"/>
        </c:manualLayout>
      </c:layout>
    </c:title>
    <c:plotArea>
      <c:layout>
        <c:manualLayout>
          <c:layoutTarget val="inner"/>
          <c:xMode val="edge"/>
          <c:yMode val="edge"/>
          <c:x val="6.8918572678415196E-2"/>
          <c:y val="0.10789743192481922"/>
          <c:w val="0.86893435195600555"/>
          <c:h val="0.58217072350808363"/>
        </c:manualLayout>
      </c:layout>
      <c:barChart>
        <c:barDir val="col"/>
        <c:grouping val="clustered"/>
        <c:ser>
          <c:idx val="0"/>
          <c:order val="0"/>
          <c:tx>
            <c:strRef>
              <c:f>коттеджи!$C$23</c:f>
              <c:strCache>
                <c:ptCount val="1"/>
                <c:pt idx="0">
                  <c:v>2 кв.2014</c:v>
                </c:pt>
              </c:strCache>
            </c:strRef>
          </c:tx>
          <c:dLbls>
            <c:dLbl>
              <c:idx val="1"/>
              <c:layout>
                <c:manualLayout>
                  <c:x val="-7.9365079365079413E-3"/>
                  <c:y val="1.294498052009771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9417470780146585E-2"/>
                </c:manualLayout>
              </c:layout>
              <c:showVal val="1"/>
            </c:dLbl>
            <c:dLbl>
              <c:idx val="4"/>
              <c:layout>
                <c:manualLayout>
                  <c:x val="-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9.9206349206349964E-3"/>
                  <c:y val="3.2362451300244227E-3"/>
                </c:manualLayout>
              </c:layout>
              <c:showVal val="1"/>
            </c:dLbl>
            <c:dLbl>
              <c:idx val="6"/>
              <c:layout>
                <c:manualLayout>
                  <c:x val="-1.9841269841269983E-3"/>
                  <c:y val="9.7087353900732892E-3"/>
                </c:manualLayout>
              </c:layout>
              <c:showVal val="1"/>
            </c:dLbl>
            <c:dLbl>
              <c:idx val="7"/>
              <c:layout>
                <c:manualLayout>
                  <c:x val="-1.1904761904761921E-2"/>
                  <c:y val="2.265371591017118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коттеджи!$A$24:$A$32</c:f>
              <c:strCache>
                <c:ptCount val="9"/>
                <c:pt idx="0">
                  <c:v>черта г.Тюмень</c:v>
                </c:pt>
                <c:pt idx="1">
                  <c:v>Червишевский тракт</c:v>
                </c:pt>
                <c:pt idx="2">
                  <c:v>Московский тракт</c:v>
                </c:pt>
                <c:pt idx="3">
                  <c:v>Ялуторовский тракт</c:v>
                </c:pt>
                <c:pt idx="4">
                  <c:v>Салаирский тракт</c:v>
                </c:pt>
                <c:pt idx="5">
                  <c:v>Ирбитский тракт</c:v>
                </c:pt>
                <c:pt idx="6">
                  <c:v>Тобольский тракт</c:v>
                </c:pt>
                <c:pt idx="7">
                  <c:v>Старый Тобольский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коттеджи!$C$24:$C$32</c:f>
              <c:numCache>
                <c:formatCode>0</c:formatCode>
                <c:ptCount val="9"/>
                <c:pt idx="0">
                  <c:v>13795.552147239268</c:v>
                </c:pt>
                <c:pt idx="1">
                  <c:v>11918.333333333327</c:v>
                </c:pt>
                <c:pt idx="2">
                  <c:v>10772.590909090903</c:v>
                </c:pt>
                <c:pt idx="3">
                  <c:v>10373.474576271186</c:v>
                </c:pt>
                <c:pt idx="4">
                  <c:v>9287.6153846153811</c:v>
                </c:pt>
                <c:pt idx="5">
                  <c:v>8421.6867469879471</c:v>
                </c:pt>
                <c:pt idx="6">
                  <c:v>7777.0588235294144</c:v>
                </c:pt>
                <c:pt idx="7">
                  <c:v>6992.0689655172491</c:v>
                </c:pt>
                <c:pt idx="8">
                  <c:v>6183.2432432432415</c:v>
                </c:pt>
              </c:numCache>
            </c:numRef>
          </c:val>
        </c:ser>
        <c:ser>
          <c:idx val="1"/>
          <c:order val="1"/>
          <c:tx>
            <c:strRef>
              <c:f>коттеджи!$D$23</c:f>
              <c:strCache>
                <c:ptCount val="1"/>
                <c:pt idx="0">
                  <c:v>3 кв.2014</c:v>
                </c:pt>
              </c:strCache>
            </c:strRef>
          </c:tx>
          <c:dLbls>
            <c:dLbl>
              <c:idx val="0"/>
              <c:layout>
                <c:manualLayout>
                  <c:x val="2.976190476190479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841269841269983E-3"/>
                  <c:y val="-1.6181225650122262E-2"/>
                </c:manualLayout>
              </c:layout>
              <c:showVal val="1"/>
            </c:dLbl>
            <c:dLbl>
              <c:idx val="2"/>
              <c:layout>
                <c:manualLayout>
                  <c:x val="2.3809523809523846E-2"/>
                  <c:y val="9.7087353900732892E-3"/>
                </c:manualLayout>
              </c:layout>
              <c:showVal val="1"/>
            </c:dLbl>
            <c:dLbl>
              <c:idx val="3"/>
              <c:layout>
                <c:manualLayout>
                  <c:x val="9.9206349206349739E-3"/>
                  <c:y val="-1.2945235342548905E-2"/>
                </c:manualLayout>
              </c:layout>
              <c:showVal val="1"/>
            </c:dLbl>
            <c:dLbl>
              <c:idx val="4"/>
              <c:layout>
                <c:manualLayout>
                  <c:x val="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3888888888888885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7857142857142856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3.9682539682539802E-3"/>
                  <c:y val="6.4724902600488835E-3"/>
                </c:manualLayout>
              </c:layout>
              <c:showVal val="1"/>
            </c:dLbl>
            <c:dLbl>
              <c:idx val="8"/>
              <c:layout>
                <c:manualLayout>
                  <c:x val="9.9206349206349964E-3"/>
                  <c:y val="-2.9665237663201274E-17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коттеджи!$A$24:$A$32</c:f>
              <c:strCache>
                <c:ptCount val="9"/>
                <c:pt idx="0">
                  <c:v>черта г.Тюмень</c:v>
                </c:pt>
                <c:pt idx="1">
                  <c:v>Червишевский тракт</c:v>
                </c:pt>
                <c:pt idx="2">
                  <c:v>Московский тракт</c:v>
                </c:pt>
                <c:pt idx="3">
                  <c:v>Ялуторовский тракт</c:v>
                </c:pt>
                <c:pt idx="4">
                  <c:v>Салаирский тракт</c:v>
                </c:pt>
                <c:pt idx="5">
                  <c:v>Ирбитский тракт</c:v>
                </c:pt>
                <c:pt idx="6">
                  <c:v>Тобольский тракт</c:v>
                </c:pt>
                <c:pt idx="7">
                  <c:v>Старый Тобольский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коттеджи!$D$24:$D$32</c:f>
              <c:numCache>
                <c:formatCode>0</c:formatCode>
                <c:ptCount val="9"/>
                <c:pt idx="0">
                  <c:v>13812.591463414634</c:v>
                </c:pt>
                <c:pt idx="1">
                  <c:v>12667.232704402533</c:v>
                </c:pt>
                <c:pt idx="2">
                  <c:v>10671.724890829713</c:v>
                </c:pt>
                <c:pt idx="3">
                  <c:v>10063.647540983606</c:v>
                </c:pt>
                <c:pt idx="4">
                  <c:v>8965.006578947361</c:v>
                </c:pt>
                <c:pt idx="5">
                  <c:v>8077.0731707317073</c:v>
                </c:pt>
                <c:pt idx="6">
                  <c:v>7532.6315789473683</c:v>
                </c:pt>
                <c:pt idx="7">
                  <c:v>6576.6666666666888</c:v>
                </c:pt>
                <c:pt idx="8">
                  <c:v>5592.4324324324325</c:v>
                </c:pt>
              </c:numCache>
            </c:numRef>
          </c:val>
        </c:ser>
        <c:overlap val="-16"/>
        <c:axId val="92008448"/>
        <c:axId val="92009984"/>
      </c:barChart>
      <c:lineChart>
        <c:grouping val="standard"/>
        <c:ser>
          <c:idx val="2"/>
          <c:order val="2"/>
          <c:tx>
            <c:strRef>
              <c:f>коттеджи!$E$23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prstDash val="dashDot"/>
            </a:ln>
          </c:spPr>
          <c:marker>
            <c:symbol val="circle"/>
            <c:size val="7"/>
            <c:spPr>
              <a:solidFill>
                <a:schemeClr val="accent3">
                  <a:lumMod val="60000"/>
                  <a:lumOff val="40000"/>
                </a:schemeClr>
              </a:solidFill>
            </c:spPr>
          </c:marker>
          <c:dLbls>
            <c:dLbl>
              <c:idx val="7"/>
              <c:layout>
                <c:manualLayout>
                  <c:x val="0"/>
                  <c:y val="-9.6511881277852238E-4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дома!$A$24:$A$32</c:f>
              <c:strCache>
                <c:ptCount val="9"/>
                <c:pt idx="0">
                  <c:v>черта г.Тюмень</c:v>
                </c:pt>
                <c:pt idx="1">
                  <c:v>Ирбитский тракт</c:v>
                </c:pt>
                <c:pt idx="2">
                  <c:v>Салаирский тракт</c:v>
                </c:pt>
                <c:pt idx="3">
                  <c:v>Московский тракт</c:v>
                </c:pt>
                <c:pt idx="4">
                  <c:v>Старый Тобольский тракт</c:v>
                </c:pt>
                <c:pt idx="5">
                  <c:v>Ялуторовский тракт</c:v>
                </c:pt>
                <c:pt idx="6">
                  <c:v>Тобольский тракт</c:v>
                </c:pt>
                <c:pt idx="7">
                  <c:v>Червишевский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коттеджи!$E$24:$E$32</c:f>
              <c:numCache>
                <c:formatCode>0.0</c:formatCode>
                <c:ptCount val="9"/>
                <c:pt idx="0">
                  <c:v>0.12351311490479588</c:v>
                </c:pt>
                <c:pt idx="1">
                  <c:v>6.2835914227591934</c:v>
                </c:pt>
                <c:pt idx="2">
                  <c:v>-0.93632088243595035</c:v>
                </c:pt>
                <c:pt idx="3">
                  <c:v>-2.9867238118681598</c:v>
                </c:pt>
                <c:pt idx="4">
                  <c:v>-3.4735375261383772</c:v>
                </c:pt>
                <c:pt idx="5">
                  <c:v>-4.0919780871628584</c:v>
                </c:pt>
                <c:pt idx="6">
                  <c:v>-3.1429265243890399</c:v>
                </c:pt>
                <c:pt idx="7">
                  <c:v>-5.9410497936907278</c:v>
                </c:pt>
                <c:pt idx="8">
                  <c:v>-9.5550310341813347</c:v>
                </c:pt>
              </c:numCache>
            </c:numRef>
          </c:val>
          <c:smooth val="1"/>
        </c:ser>
        <c:marker val="1"/>
        <c:axId val="92095616"/>
        <c:axId val="92011904"/>
      </c:lineChart>
      <c:catAx>
        <c:axId val="92008448"/>
        <c:scaling>
          <c:orientation val="minMax"/>
        </c:scaling>
        <c:axPos val="b"/>
        <c:majorTickMark val="none"/>
        <c:tickLblPos val="nextTo"/>
        <c:txPr>
          <a:bodyPr rot="-204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009984"/>
        <c:crosses val="autoZero"/>
        <c:auto val="1"/>
        <c:lblAlgn val="ctr"/>
        <c:lblOffset val="100"/>
      </c:catAx>
      <c:valAx>
        <c:axId val="92009984"/>
        <c:scaling>
          <c:orientation val="minMax"/>
          <c:max val="1550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4.7572178477690293E-4"/>
              <c:y val="4.6600400937644733E-2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008448"/>
        <c:crosses val="autoZero"/>
        <c:crossBetween val="between"/>
      </c:valAx>
      <c:valAx>
        <c:axId val="92011904"/>
        <c:scaling>
          <c:orientation val="minMax"/>
          <c:max val="30"/>
          <c:min val="-30"/>
        </c:scaling>
        <c:axPos val="r"/>
        <c:numFmt formatCode="0.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095616"/>
        <c:crosses val="max"/>
        <c:crossBetween val="between"/>
      </c:valAx>
      <c:catAx>
        <c:axId val="92095616"/>
        <c:scaling>
          <c:orientation val="minMax"/>
        </c:scaling>
        <c:delete val="1"/>
        <c:axPos val="b"/>
        <c:tickLblPos val="nextTo"/>
        <c:crossAx val="9201190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38977009220720826"/>
          <c:y val="9.0101216956009478E-2"/>
          <c:w val="0.5347302591986266"/>
          <c:h val="8.5507341394952072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ru-RU" sz="1000">
                <a:latin typeface="Arial" pitchFamily="34" charset="0"/>
                <a:cs typeface="Arial" pitchFamily="34" charset="0"/>
              </a:rPr>
              <a:t>Структура предложения таунхаусов по направлениям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ru-RU" sz="1000">
                <a:latin typeface="Arial" pitchFamily="34" charset="0"/>
                <a:cs typeface="Arial" pitchFamily="34" charset="0"/>
              </a:rPr>
              <a:t>
</a:t>
            </a:r>
          </a:p>
        </c:rich>
      </c:tx>
      <c:layout>
        <c:manualLayout>
          <c:xMode val="edge"/>
          <c:yMode val="edge"/>
          <c:x val="0.16813754244022275"/>
          <c:y val="0"/>
        </c:manualLayout>
      </c:layout>
    </c:title>
    <c:plotArea>
      <c:layout>
        <c:manualLayout>
          <c:layoutTarget val="inner"/>
          <c:xMode val="edge"/>
          <c:yMode val="edge"/>
          <c:x val="0.32810564941518233"/>
          <c:y val="0.36783614548181481"/>
          <c:w val="0.4221656787283613"/>
          <c:h val="0.5852452555580113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448106142695463E-2"/>
                  <c:y val="3.014944545458684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2.1894868646006406E-2"/>
                  <c:y val="-1.1643145914904061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1430527036276524"/>
                  <c:y val="0.195750411198600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184918107002709"/>
                  <c:y val="0.15141431321084894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40944939511877"/>
                  <c:y val="-7.9058719211694724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7722721700529609"/>
                  <c:y val="-0.13283834551029944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5.5217318018733934E-3"/>
                  <c:y val="-0.18870958410231786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2862481639336368"/>
                  <c:y val="-0.10110174499296991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31755835382451475"/>
                  <c:y val="-5.8301864346510133E-3"/>
                </c:manualLayout>
              </c:layout>
              <c:showCatName val="1"/>
              <c:showPercent val="1"/>
            </c:dLbl>
            <c:spPr>
              <a:ln>
                <a:solidFill>
                  <a:sysClr val="window" lastClr="FFFFFF">
                    <a:lumMod val="85000"/>
                  </a:sysClr>
                </a:solidFill>
              </a:ln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дома!$A$3:$A$11</c:f>
              <c:strCache>
                <c:ptCount val="9"/>
                <c:pt idx="0">
                  <c:v>черта г.Тюмень</c:v>
                </c:pt>
                <c:pt idx="1">
                  <c:v>Московский тракт</c:v>
                </c:pt>
                <c:pt idx="2">
                  <c:v>Червишевский тракт</c:v>
                </c:pt>
                <c:pt idx="3">
                  <c:v>Велижанский тракт</c:v>
                </c:pt>
                <c:pt idx="4">
                  <c:v>Салаирский тракт</c:v>
                </c:pt>
                <c:pt idx="5">
                  <c:v>Ялуторовский тракт</c:v>
                </c:pt>
                <c:pt idx="6">
                  <c:v>Ирбитский тракт</c:v>
                </c:pt>
                <c:pt idx="7">
                  <c:v>Тобольский тракт</c:v>
                </c:pt>
                <c:pt idx="8">
                  <c:v>Старый Тобольский тракт</c:v>
                </c:pt>
              </c:strCache>
            </c:strRef>
          </c:cat>
          <c:val>
            <c:numRef>
              <c:f>таунхаусы!$B$3:$B$11</c:f>
              <c:numCache>
                <c:formatCode>General</c:formatCode>
                <c:ptCount val="9"/>
                <c:pt idx="0">
                  <c:v>65</c:v>
                </c:pt>
                <c:pt idx="1">
                  <c:v>32</c:v>
                </c:pt>
                <c:pt idx="2">
                  <c:v>9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ru-RU" sz="1050">
                <a:latin typeface="Arial" pitchFamily="34" charset="0"/>
                <a:cs typeface="Arial" pitchFamily="34" charset="0"/>
              </a:rPr>
              <a:t>Динамика средней цены таунхаусов в разрезе по трактам, тыс.руб.</a:t>
            </a:r>
          </a:p>
        </c:rich>
      </c:tx>
      <c:layout>
        <c:manualLayout>
          <c:xMode val="edge"/>
          <c:yMode val="edge"/>
          <c:x val="0.12964332583427071"/>
          <c:y val="1.039930423277929E-2"/>
        </c:manualLayout>
      </c:layout>
    </c:title>
    <c:plotArea>
      <c:layout>
        <c:manualLayout>
          <c:layoutTarget val="inner"/>
          <c:xMode val="edge"/>
          <c:yMode val="edge"/>
          <c:x val="9.836542206417774E-2"/>
          <c:y val="0.10789743192481922"/>
          <c:w val="0.81135873338413456"/>
          <c:h val="0.56932862190812761"/>
        </c:manualLayout>
      </c:layout>
      <c:barChart>
        <c:barDir val="col"/>
        <c:grouping val="clustered"/>
        <c:ser>
          <c:idx val="0"/>
          <c:order val="0"/>
          <c:tx>
            <c:strRef>
              <c:f>таунхаусы!$C$23</c:f>
              <c:strCache>
                <c:ptCount val="1"/>
                <c:pt idx="0">
                  <c:v>2 кв.2014</c:v>
                </c:pt>
              </c:strCache>
            </c:strRef>
          </c:tx>
          <c:dLbls>
            <c:dLbl>
              <c:idx val="1"/>
              <c:layout>
                <c:manualLayout>
                  <c:x val="-7.9365079365079413E-3"/>
                  <c:y val="1.294498052009771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9.4228504122497291E-3"/>
                </c:manualLayout>
              </c:layout>
              <c:showVal val="1"/>
            </c:dLbl>
            <c:dLbl>
              <c:idx val="4"/>
              <c:layout>
                <c:manualLayout>
                  <c:x val="-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1.4221657776648886E-2"/>
                  <c:y val="7.9478404422062103E-3"/>
                </c:manualLayout>
              </c:layout>
              <c:showVal val="1"/>
            </c:dLbl>
            <c:dLbl>
              <c:idx val="6"/>
              <c:layout>
                <c:manualLayout>
                  <c:x val="-1.9841269841269992E-3"/>
                  <c:y val="9.7087353900732892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таунхаусы!$A$24:$A$29</c:f>
              <c:strCache>
                <c:ptCount val="6"/>
                <c:pt idx="0">
                  <c:v>Червишевский тракт</c:v>
                </c:pt>
                <c:pt idx="1">
                  <c:v>черта г.Тюмень</c:v>
                </c:pt>
                <c:pt idx="2">
                  <c:v>Велижанский тракт</c:v>
                </c:pt>
                <c:pt idx="3">
                  <c:v>Ирбитский тракт</c:v>
                </c:pt>
                <c:pt idx="4">
                  <c:v>Тобольский тракт</c:v>
                </c:pt>
                <c:pt idx="5">
                  <c:v>Московский тракт</c:v>
                </c:pt>
              </c:strCache>
            </c:strRef>
          </c:cat>
          <c:val>
            <c:numRef>
              <c:f>таунхаусы!$C$24:$C$29</c:f>
              <c:numCache>
                <c:formatCode>0</c:formatCode>
                <c:ptCount val="6"/>
                <c:pt idx="0">
                  <c:v>13280</c:v>
                </c:pt>
                <c:pt idx="1">
                  <c:v>11258.859649122807</c:v>
                </c:pt>
                <c:pt idx="2">
                  <c:v>9620</c:v>
                </c:pt>
                <c:pt idx="3">
                  <c:v>9128.5714285714348</c:v>
                </c:pt>
                <c:pt idx="4">
                  <c:v>5241.6666666666888</c:v>
                </c:pt>
                <c:pt idx="5">
                  <c:v>4555.6666666666888</c:v>
                </c:pt>
              </c:numCache>
            </c:numRef>
          </c:val>
        </c:ser>
        <c:ser>
          <c:idx val="1"/>
          <c:order val="1"/>
          <c:tx>
            <c:strRef>
              <c:f>таунхаусы!$D$23</c:f>
              <c:strCache>
                <c:ptCount val="1"/>
                <c:pt idx="0">
                  <c:v>3 кв.2014</c:v>
                </c:pt>
              </c:strCache>
            </c:strRef>
          </c:tx>
          <c:dLbls>
            <c:dLbl>
              <c:idx val="0"/>
              <c:layout>
                <c:manualLayout>
                  <c:x val="1.040707814748967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887308441283605E-2"/>
                  <c:y val="1.2086846034705025E-2"/>
                </c:manualLayout>
              </c:layout>
              <c:showVal val="1"/>
            </c:dLbl>
            <c:dLbl>
              <c:idx val="2"/>
              <c:layout>
                <c:manualLayout>
                  <c:x val="8.7557361781390626E-3"/>
                  <c:y val="9.7088747298813803E-3"/>
                </c:manualLayout>
              </c:layout>
              <c:showVal val="1"/>
            </c:dLbl>
            <c:dLbl>
              <c:idx val="3"/>
              <c:layout>
                <c:manualLayout>
                  <c:x val="1.1405469477605621E-2"/>
                  <c:y val="9.7085037515186948E-3"/>
                </c:manualLayout>
              </c:layout>
              <c:showVal val="1"/>
            </c:dLbl>
            <c:dLbl>
              <c:idx val="4"/>
              <c:layout>
                <c:manualLayout>
                  <c:x val="1.484886969773944E-3"/>
                  <c:y val="2.3557126030624265E-2"/>
                </c:manualLayout>
              </c:layout>
              <c:showVal val="1"/>
            </c:dLbl>
            <c:dLbl>
              <c:idx val="5"/>
              <c:layout>
                <c:manualLayout>
                  <c:x val="3.1362289391245403E-3"/>
                  <c:y val="4.7114252061248524E-3"/>
                </c:manualLayout>
              </c:layout>
              <c:showVal val="1"/>
            </c:dLbl>
            <c:dLbl>
              <c:idx val="6"/>
              <c:layout>
                <c:manualLayout>
                  <c:x val="9.9206349206350034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5.9523809523809521E-3"/>
                  <c:y val="-6.4724902600488904E-3"/>
                </c:manualLayout>
              </c:layout>
              <c:showVal val="1"/>
            </c:dLbl>
            <c:dLbl>
              <c:idx val="8"/>
              <c:layout>
                <c:manualLayout>
                  <c:x val="9.9206349206350034E-3"/>
                  <c:y val="-2.9665237663201335E-17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таунхаусы!$A$24:$A$29</c:f>
              <c:strCache>
                <c:ptCount val="6"/>
                <c:pt idx="0">
                  <c:v>Червишевский тракт</c:v>
                </c:pt>
                <c:pt idx="1">
                  <c:v>черта г.Тюмень</c:v>
                </c:pt>
                <c:pt idx="2">
                  <c:v>Велижанский тракт</c:v>
                </c:pt>
                <c:pt idx="3">
                  <c:v>Ирбитский тракт</c:v>
                </c:pt>
                <c:pt idx="4">
                  <c:v>Тобольский тракт</c:v>
                </c:pt>
                <c:pt idx="5">
                  <c:v>Московский тракт</c:v>
                </c:pt>
              </c:strCache>
            </c:strRef>
          </c:cat>
          <c:val>
            <c:numRef>
              <c:f>таунхаусы!$D$24:$D$29</c:f>
              <c:numCache>
                <c:formatCode>0</c:formatCode>
                <c:ptCount val="6"/>
                <c:pt idx="0">
                  <c:v>10676.666666666661</c:v>
                </c:pt>
                <c:pt idx="1">
                  <c:v>11021.15625</c:v>
                </c:pt>
                <c:pt idx="2">
                  <c:v>4110</c:v>
                </c:pt>
                <c:pt idx="3">
                  <c:v>9980</c:v>
                </c:pt>
                <c:pt idx="4">
                  <c:v>4640</c:v>
                </c:pt>
                <c:pt idx="5">
                  <c:v>3969.0322580645161</c:v>
                </c:pt>
              </c:numCache>
            </c:numRef>
          </c:val>
        </c:ser>
        <c:overlap val="-16"/>
        <c:axId val="92215936"/>
        <c:axId val="92242304"/>
      </c:barChart>
      <c:lineChart>
        <c:grouping val="standard"/>
        <c:ser>
          <c:idx val="2"/>
          <c:order val="2"/>
          <c:tx>
            <c:strRef>
              <c:f>таунхаусы!$E$23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prstDash val="dashDot"/>
            </a:ln>
          </c:spPr>
          <c:marker>
            <c:symbol val="circle"/>
            <c:size val="7"/>
            <c:spPr>
              <a:solidFill>
                <a:schemeClr val="accent3">
                  <a:lumMod val="60000"/>
                  <a:lumOff val="40000"/>
                </a:schemeClr>
              </a:solidFill>
            </c:spPr>
          </c:marker>
          <c:dLbls>
            <c:dLbl>
              <c:idx val="4"/>
              <c:layout>
                <c:manualLayout>
                  <c:x val="4.3010752688171965E-3"/>
                  <c:y val="-0.10836277974087175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0"/>
                  <c:y val="-0.11778563015312148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дома!$A$24:$A$32</c:f>
              <c:strCache>
                <c:ptCount val="9"/>
                <c:pt idx="0">
                  <c:v>черта г.Тюмень</c:v>
                </c:pt>
                <c:pt idx="1">
                  <c:v>Ирбитский тракт</c:v>
                </c:pt>
                <c:pt idx="2">
                  <c:v>Салаирский тракт</c:v>
                </c:pt>
                <c:pt idx="3">
                  <c:v>Московский тракт</c:v>
                </c:pt>
                <c:pt idx="4">
                  <c:v>Старый Тобольский тракт</c:v>
                </c:pt>
                <c:pt idx="5">
                  <c:v>Ялуторовский тракт</c:v>
                </c:pt>
                <c:pt idx="6">
                  <c:v>Тобольский тракт</c:v>
                </c:pt>
                <c:pt idx="7">
                  <c:v>Червишевский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таунхаусы!$E$24:$E$29</c:f>
              <c:numCache>
                <c:formatCode>0.0</c:formatCode>
                <c:ptCount val="6"/>
                <c:pt idx="0">
                  <c:v>-19.603413654618517</c:v>
                </c:pt>
                <c:pt idx="1">
                  <c:v>-2.1112564374254967</c:v>
                </c:pt>
                <c:pt idx="2">
                  <c:v>-57.276507276507282</c:v>
                </c:pt>
                <c:pt idx="3">
                  <c:v>9.3270735524256558</c:v>
                </c:pt>
                <c:pt idx="4">
                  <c:v>-11.478537360890307</c:v>
                </c:pt>
                <c:pt idx="5">
                  <c:v>-12.877026602813</c:v>
                </c:pt>
              </c:numCache>
            </c:numRef>
          </c:val>
          <c:smooth val="1"/>
        </c:ser>
        <c:marker val="1"/>
        <c:axId val="92254208"/>
        <c:axId val="92244224"/>
      </c:lineChart>
      <c:catAx>
        <c:axId val="92215936"/>
        <c:scaling>
          <c:orientation val="minMax"/>
        </c:scaling>
        <c:axPos val="b"/>
        <c:majorTickMark val="none"/>
        <c:tickLblPos val="nextTo"/>
        <c:txPr>
          <a:bodyPr rot="-204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242304"/>
        <c:crosses val="autoZero"/>
        <c:auto val="1"/>
        <c:lblAlgn val="ctr"/>
        <c:lblOffset val="100"/>
      </c:catAx>
      <c:valAx>
        <c:axId val="92242304"/>
        <c:scaling>
          <c:orientation val="minMax"/>
          <c:max val="1450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1.3378884091101521E-2"/>
              <c:y val="4.6600447028927038E-2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215936"/>
        <c:crosses val="autoZero"/>
        <c:crossBetween val="between"/>
      </c:valAx>
      <c:valAx>
        <c:axId val="92244224"/>
        <c:scaling>
          <c:orientation val="minMax"/>
          <c:max val="60"/>
          <c:min val="-70"/>
        </c:scaling>
        <c:axPos val="r"/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254208"/>
        <c:crosses val="max"/>
        <c:crossBetween val="between"/>
      </c:valAx>
      <c:catAx>
        <c:axId val="92254208"/>
        <c:scaling>
          <c:orientation val="minMax"/>
        </c:scaling>
        <c:delete val="1"/>
        <c:axPos val="b"/>
        <c:tickLblPos val="nextTo"/>
        <c:crossAx val="9224422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46245849413131218"/>
          <c:y val="0.11969345412031662"/>
          <c:w val="0.48128290484266806"/>
          <c:h val="6.6562928449118403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ru-RU" sz="1050">
                <a:latin typeface="Arial" pitchFamily="34" charset="0"/>
                <a:cs typeface="Arial" pitchFamily="34" charset="0"/>
              </a:rPr>
              <a:t>Объем предложения  (к янв.2013г.), %</a:t>
            </a:r>
          </a:p>
        </c:rich>
      </c:tx>
      <c:layout>
        <c:manualLayout>
          <c:xMode val="edge"/>
          <c:yMode val="edge"/>
          <c:x val="0.30384830120759343"/>
          <c:y val="6.4891178358491191E-3"/>
        </c:manualLayout>
      </c:layout>
    </c:title>
    <c:plotArea>
      <c:layout>
        <c:manualLayout>
          <c:layoutTarget val="inner"/>
          <c:xMode val="edge"/>
          <c:yMode val="edge"/>
          <c:x val="8.3277310924369768E-2"/>
          <c:y val="0.10789754728934746"/>
          <c:w val="0.88990089554419194"/>
          <c:h val="0.72872577147050399"/>
        </c:manualLayout>
      </c:layout>
      <c:lineChart>
        <c:grouping val="standard"/>
        <c:ser>
          <c:idx val="0"/>
          <c:order val="0"/>
          <c:tx>
            <c:strRef>
              <c:f>'объем предложения'!$A$3</c:f>
              <c:strCache>
                <c:ptCount val="1"/>
                <c:pt idx="0">
                  <c:v>Объем предложения</c:v>
                </c:pt>
              </c:strCache>
            </c:strRef>
          </c:tx>
          <c:spPr>
            <a:ln w="19050">
              <a:prstDash val="sysDash"/>
            </a:ln>
          </c:spPr>
          <c:marker>
            <c:symbol val="circle"/>
            <c:size val="6"/>
          </c:marker>
          <c:cat>
            <c:strRef>
              <c:f>'объем предложения'!$E$2:$K$2</c:f>
              <c:strCache>
                <c:ptCount val="7"/>
                <c:pt idx="0">
                  <c:v>1 кв.2013</c:v>
                </c:pt>
                <c:pt idx="1">
                  <c:v>2 кв.2013</c:v>
                </c:pt>
                <c:pt idx="2">
                  <c:v>3 кв. 2013</c:v>
                </c:pt>
                <c:pt idx="3">
                  <c:v>4 кв.2013</c:v>
                </c:pt>
                <c:pt idx="4">
                  <c:v>1 кв.2014</c:v>
                </c:pt>
                <c:pt idx="5">
                  <c:v>2 кв.2014</c:v>
                </c:pt>
                <c:pt idx="6">
                  <c:v>3 кв.2014</c:v>
                </c:pt>
              </c:strCache>
            </c:strRef>
          </c:cat>
          <c:val>
            <c:numRef>
              <c:f>'объем предложения'!$E$4:$K$4</c:f>
              <c:numCache>
                <c:formatCode>0</c:formatCode>
                <c:ptCount val="7"/>
                <c:pt idx="0">
                  <c:v>100</c:v>
                </c:pt>
                <c:pt idx="1">
                  <c:v>116.9741148467718</c:v>
                </c:pt>
                <c:pt idx="2">
                  <c:v>130.80928295150252</c:v>
                </c:pt>
                <c:pt idx="3">
                  <c:v>131.74650401666125</c:v>
                </c:pt>
                <c:pt idx="4">
                  <c:v>143.39482296935435</c:v>
                </c:pt>
                <c:pt idx="5">
                  <c:v>166.02201725676881</c:v>
                </c:pt>
                <c:pt idx="6">
                  <c:v>175.87027670336198</c:v>
                </c:pt>
              </c:numCache>
            </c:numRef>
          </c:val>
          <c:smooth val="1"/>
        </c:ser>
        <c:marker val="1"/>
        <c:axId val="85787776"/>
        <c:axId val="85789312"/>
      </c:lineChart>
      <c:catAx>
        <c:axId val="85787776"/>
        <c:scaling>
          <c:orientation val="minMax"/>
        </c:scaling>
        <c:axPos val="b"/>
        <c:numFmt formatCode="mmm/yy" sourceLinked="1"/>
        <c:majorTickMark val="none"/>
        <c:tickLblPos val="nextTo"/>
        <c:txPr>
          <a:bodyPr rot="0" vert="horz"/>
          <a:lstStyle/>
          <a:p>
            <a:pPr>
              <a:defRPr sz="900" b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5789312"/>
        <c:crosses val="autoZero"/>
        <c:auto val="1"/>
        <c:lblAlgn val="ctr"/>
        <c:lblOffset val="100"/>
      </c:catAx>
      <c:valAx>
        <c:axId val="85789312"/>
        <c:scaling>
          <c:orientation val="minMax"/>
          <c:max val="210"/>
          <c:min val="0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57877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Структура </a:t>
            </a:r>
            <a:r>
              <a:rPr lang="ru-RU" sz="1050">
                <a:latin typeface="Arial" pitchFamily="34" charset="0"/>
                <a:cs typeface="Arial" pitchFamily="34" charset="0"/>
              </a:rPr>
              <a:t>предложения</a:t>
            </a:r>
            <a:r>
              <a:rPr lang="ru-RU" sz="1100">
                <a:latin typeface="Arial" pitchFamily="34" charset="0"/>
                <a:cs typeface="Arial" pitchFamily="34" charset="0"/>
              </a:rPr>
              <a:t> по типам недвижимости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
</a:t>
            </a:r>
          </a:p>
        </c:rich>
      </c:tx>
      <c:layout>
        <c:manualLayout>
          <c:xMode val="edge"/>
          <c:yMode val="edge"/>
          <c:x val="0.17349341536389634"/>
          <c:y val="3.7531652155815476E-3"/>
        </c:manualLayout>
      </c:layout>
    </c:title>
    <c:plotArea>
      <c:layout>
        <c:manualLayout>
          <c:layoutTarget val="inner"/>
          <c:xMode val="edge"/>
          <c:yMode val="edge"/>
          <c:x val="0.26326138217033129"/>
          <c:y val="0.24049803036385545"/>
          <c:w val="0.49927762189487768"/>
          <c:h val="0.7147930607477253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2009849284303381E-2"/>
                  <c:y val="-2.761231704987545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8.7142571096138419E-2"/>
                  <c:y val="-6.738871386858215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9448548312904165E-2"/>
                  <c:y val="5.334320791502836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4584972796767753"/>
                  <c:y val="6.8128157989061938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32585998178799269"/>
                  <c:y val="0.11208435949911545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3.7777745671699711E-2"/>
                  <c:y val="1.164054561990077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9.2337595415251994E-2"/>
                  <c:y val="-4.8358661290123534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7718567747838837"/>
                  <c:y val="-8.8717840038953277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40073876086590132"/>
                  <c:y val="-8.4261584476758633E-2"/>
                </c:manualLayout>
              </c:layout>
              <c:showCatName val="1"/>
              <c:showPercent val="1"/>
            </c:dLbl>
            <c:spPr>
              <a:ln>
                <a:solidFill>
                  <a:schemeClr val="bg1">
                    <a:lumMod val="85000"/>
                  </a:schemeClr>
                </a:solidFill>
              </a:ln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'свод, общ'!$M$3:$M$7</c:f>
              <c:strCache>
                <c:ptCount val="5"/>
                <c:pt idx="0">
                  <c:v>Земельные участки</c:v>
                </c:pt>
                <c:pt idx="1">
                  <c:v>Дома</c:v>
                </c:pt>
                <c:pt idx="2">
                  <c:v>Дачи</c:v>
                </c:pt>
                <c:pt idx="3">
                  <c:v>Коттеджи</c:v>
                </c:pt>
                <c:pt idx="4">
                  <c:v>Таунхаусы</c:v>
                </c:pt>
              </c:strCache>
            </c:strRef>
          </c:cat>
          <c:val>
            <c:numRef>
              <c:f>'свод, общ'!$O$3:$O$7</c:f>
              <c:numCache>
                <c:formatCode>0.0%</c:formatCode>
                <c:ptCount val="5"/>
                <c:pt idx="0">
                  <c:v>0.49357130773134916</c:v>
                </c:pt>
                <c:pt idx="1">
                  <c:v>0.22593469802063948</c:v>
                </c:pt>
                <c:pt idx="2">
                  <c:v>0.17103704956860091</c:v>
                </c:pt>
                <c:pt idx="3">
                  <c:v>9.8798849602436692E-2</c:v>
                </c:pt>
                <c:pt idx="4">
                  <c:v>1.0658095076975131E-2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ru-RU" sz="1050">
                <a:latin typeface="Arial" pitchFamily="34" charset="0"/>
                <a:cs typeface="Arial" pitchFamily="34" charset="0"/>
              </a:rPr>
              <a:t>Динамика средней цены объектов загородной недвижимости, тыс.руб.</a:t>
            </a:r>
          </a:p>
        </c:rich>
      </c:tx>
      <c:layout>
        <c:manualLayout>
          <c:xMode val="edge"/>
          <c:yMode val="edge"/>
          <c:x val="0.20157287525100032"/>
          <c:y val="1.2611842050095176E-2"/>
        </c:manualLayout>
      </c:layout>
    </c:title>
    <c:plotArea>
      <c:layout>
        <c:manualLayout>
          <c:layoutTarget val="inner"/>
          <c:xMode val="edge"/>
          <c:yMode val="edge"/>
          <c:x val="8.6863200918514488E-2"/>
          <c:y val="0.17133187425054267"/>
          <c:w val="0.86893435195600555"/>
          <c:h val="0.65611464701097943"/>
        </c:manualLayout>
      </c:layout>
      <c:barChart>
        <c:barDir val="col"/>
        <c:grouping val="clustered"/>
        <c:ser>
          <c:idx val="0"/>
          <c:order val="0"/>
          <c:tx>
            <c:strRef>
              <c:f>ср.цена!$U$1</c:f>
              <c:strCache>
                <c:ptCount val="1"/>
                <c:pt idx="0">
                  <c:v>1 кв.2014</c:v>
                </c:pt>
              </c:strCache>
            </c:strRef>
          </c:tx>
          <c:dLbls>
            <c:dLbl>
              <c:idx val="0"/>
              <c:layout>
                <c:manualLayout>
                  <c:x val="-9.6269536509558454E-3"/>
                  <c:y val="9.1638029782360221E-3"/>
                </c:manualLayout>
              </c:layout>
              <c:showVal val="1"/>
            </c:dLbl>
            <c:dLbl>
              <c:idx val="2"/>
              <c:layout>
                <c:manualLayout>
                  <c:x val="-7.936507936507941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9.9206349206350155E-3"/>
                  <c:y val="3.2362451300244227E-3"/>
                </c:manualLayout>
              </c:layout>
              <c:showVal val="1"/>
            </c:dLbl>
            <c:dLbl>
              <c:idx val="6"/>
              <c:layout>
                <c:manualLayout>
                  <c:x val="-1.9841269841270009E-3"/>
                  <c:y val="9.7087353900732892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[2]ср.цена!$W$2:$W$6</c:f>
              <c:strCache>
                <c:ptCount val="5"/>
                <c:pt idx="0">
                  <c:v>коттежи</c:v>
                </c:pt>
                <c:pt idx="1">
                  <c:v>таунхаусы</c:v>
                </c:pt>
                <c:pt idx="2">
                  <c:v>дома</c:v>
                </c:pt>
                <c:pt idx="3">
                  <c:v>земельные участки</c:v>
                </c:pt>
                <c:pt idx="4">
                  <c:v>дачи</c:v>
                </c:pt>
              </c:strCache>
            </c:strRef>
          </c:cat>
          <c:val>
            <c:numRef>
              <c:f>ср.цена!$U$2:$U$6</c:f>
              <c:numCache>
                <c:formatCode>0</c:formatCode>
                <c:ptCount val="5"/>
                <c:pt idx="0">
                  <c:v>11082</c:v>
                </c:pt>
                <c:pt idx="1">
                  <c:v>9308</c:v>
                </c:pt>
                <c:pt idx="2">
                  <c:v>3658</c:v>
                </c:pt>
                <c:pt idx="3">
                  <c:v>1528</c:v>
                </c:pt>
                <c:pt idx="4">
                  <c:v>1349</c:v>
                </c:pt>
              </c:numCache>
            </c:numRef>
          </c:val>
        </c:ser>
        <c:ser>
          <c:idx val="1"/>
          <c:order val="1"/>
          <c:tx>
            <c:strRef>
              <c:f>ср.цена!$V$1</c:f>
              <c:strCache>
                <c:ptCount val="1"/>
                <c:pt idx="0">
                  <c:v>2 кв.2014</c:v>
                </c:pt>
              </c:strCache>
            </c:strRef>
          </c:tx>
          <c:dLbls>
            <c:dLbl>
              <c:idx val="0"/>
              <c:layout>
                <c:manualLayout>
                  <c:x val="1.785714285714285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901E-2"/>
                  <c:y val="9.7087353900732892E-3"/>
                </c:manualLayout>
              </c:layout>
              <c:showVal val="1"/>
            </c:dLbl>
            <c:dLbl>
              <c:idx val="2"/>
              <c:layout>
                <c:manualLayout>
                  <c:x val="1.1904761904761921E-2"/>
                  <c:y val="9.7087353900732892E-3"/>
                </c:manualLayout>
              </c:layout>
              <c:showVal val="1"/>
            </c:dLbl>
            <c:dLbl>
              <c:idx val="3"/>
              <c:layout>
                <c:manualLayout>
                  <c:x val="7.936507936507941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190476190476192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9.9206349206350155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9841269841269992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9.9206349206350155E-3"/>
                  <c:y val="-2.9665237663201465E-17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[2]ср.цена!$W$2:$W$6</c:f>
              <c:strCache>
                <c:ptCount val="5"/>
                <c:pt idx="0">
                  <c:v>коттежи</c:v>
                </c:pt>
                <c:pt idx="1">
                  <c:v>таунхаусы</c:v>
                </c:pt>
                <c:pt idx="2">
                  <c:v>дома</c:v>
                </c:pt>
                <c:pt idx="3">
                  <c:v>земельные участки</c:v>
                </c:pt>
                <c:pt idx="4">
                  <c:v>дачи</c:v>
                </c:pt>
              </c:strCache>
            </c:strRef>
          </c:cat>
          <c:val>
            <c:numRef>
              <c:f>ср.цена!$V$2:$V$6</c:f>
              <c:numCache>
                <c:formatCode>0</c:formatCode>
                <c:ptCount val="5"/>
                <c:pt idx="0">
                  <c:v>11273.065905096661</c:v>
                </c:pt>
                <c:pt idx="1">
                  <c:v>9087.1610169491451</c:v>
                </c:pt>
                <c:pt idx="2">
                  <c:v>3732.3869243421054</c:v>
                </c:pt>
                <c:pt idx="3">
                  <c:v>1491.5439407955596</c:v>
                </c:pt>
                <c:pt idx="4">
                  <c:v>1371.3894575230297</c:v>
                </c:pt>
              </c:numCache>
            </c:numRef>
          </c:val>
        </c:ser>
        <c:ser>
          <c:idx val="2"/>
          <c:order val="2"/>
          <c:tx>
            <c:strRef>
              <c:f>ср.цена!$W$1</c:f>
              <c:strCache>
                <c:ptCount val="1"/>
                <c:pt idx="0">
                  <c:v>3 кв.2014</c:v>
                </c:pt>
              </c:strCache>
            </c:strRef>
          </c:tx>
          <c:dLbls>
            <c:dLbl>
              <c:idx val="0"/>
              <c:layout>
                <c:manualLayout>
                  <c:x val="3.3449684290877267E-2"/>
                  <c:y val="2.6525241045900191E-2"/>
                </c:manualLayout>
              </c:layout>
              <c:showVal val="1"/>
            </c:dLbl>
            <c:dLbl>
              <c:idx val="1"/>
              <c:layout>
                <c:manualLayout>
                  <c:x val="1.7486335788247365E-2"/>
                  <c:y val="8.5197018104366824E-3"/>
                </c:manualLayout>
              </c:layout>
              <c:showVal val="1"/>
            </c:dLbl>
            <c:dLbl>
              <c:idx val="2"/>
              <c:layout>
                <c:manualLayout>
                  <c:x val="3.1926806347194574E-2"/>
                  <c:y val="1.3745704467354085E-2"/>
                </c:manualLayout>
              </c:layout>
              <c:showVal val="1"/>
            </c:dLbl>
            <c:dLbl>
              <c:idx val="3"/>
              <c:layout>
                <c:manualLayout>
                  <c:x val="1.96721277617783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748633578824736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val>
            <c:numRef>
              <c:f>ср.цена!$W$2:$W$6</c:f>
              <c:numCache>
                <c:formatCode>0</c:formatCode>
                <c:ptCount val="5"/>
                <c:pt idx="0">
                  <c:v>11115.935121107263</c:v>
                </c:pt>
                <c:pt idx="1">
                  <c:v>8500.677419354839</c:v>
                </c:pt>
                <c:pt idx="2">
                  <c:v>3657.4366729678641</c:v>
                </c:pt>
                <c:pt idx="3">
                  <c:v>1478.5915858725762</c:v>
                </c:pt>
                <c:pt idx="4">
                  <c:v>1382.1043956043948</c:v>
                </c:pt>
              </c:numCache>
            </c:numRef>
          </c:val>
        </c:ser>
        <c:overlap val="-16"/>
        <c:axId val="95981568"/>
        <c:axId val="95983104"/>
      </c:barChart>
      <c:catAx>
        <c:axId val="95981568"/>
        <c:scaling>
          <c:orientation val="minMax"/>
        </c:scaling>
        <c:axPos val="b"/>
        <c:majorTickMark val="none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5983104"/>
        <c:crosses val="autoZero"/>
        <c:auto val="1"/>
        <c:lblAlgn val="ctr"/>
        <c:lblOffset val="100"/>
      </c:catAx>
      <c:valAx>
        <c:axId val="95983104"/>
        <c:scaling>
          <c:orientation val="minMax"/>
          <c:max val="1410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ru-RU" sz="900">
                    <a:latin typeface="Arial" pitchFamily="34" charset="0"/>
                    <a:cs typeface="Arial" pitchFamily="34" charset="0"/>
                  </a:rPr>
                  <a:t>тыс.руб.</a:t>
                </a:r>
              </a:p>
            </c:rich>
          </c:tx>
          <c:layout>
            <c:manualLayout>
              <c:xMode val="edge"/>
              <c:yMode val="edge"/>
              <c:x val="4.7571094605035444E-4"/>
              <c:y val="8.2726304579340312E-2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5981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591281660830888"/>
          <c:y val="0.15887005649717575"/>
          <c:w val="0.50781981013766053"/>
          <c:h val="0.15796396636861071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Структура предложения земельных участков по направлениям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
</a:t>
            </a:r>
          </a:p>
        </c:rich>
      </c:tx>
      <c:layout>
        <c:manualLayout>
          <c:xMode val="edge"/>
          <c:yMode val="edge"/>
          <c:x val="0.10467377968286509"/>
          <c:y val="0"/>
        </c:manualLayout>
      </c:layout>
    </c:title>
    <c:plotArea>
      <c:layout>
        <c:manualLayout>
          <c:layoutTarget val="inner"/>
          <c:xMode val="edge"/>
          <c:yMode val="edge"/>
          <c:x val="0.3446095017939273"/>
          <c:y val="0.29353267628212432"/>
          <c:w val="0.4221656787283613"/>
          <c:h val="0.5852452555580127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2528351115873818"/>
                  <c:y val="0.1020324011222735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8.3304100748874912E-2"/>
                  <c:y val="0.1163238719432726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4.2269642900142082E-2"/>
                  <c:y val="6.778351503978172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5.8548387873534162E-2"/>
                  <c:y val="3.3946201196525749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3581930699029707"/>
                  <c:y val="-1.6161808557180923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3.777774567169969E-2"/>
                  <c:y val="1.164054561990075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9.2337595415251994E-2"/>
                  <c:y val="-4.8358661290123534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7718567747838837"/>
                  <c:y val="-8.8717840038953236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22115330258273941"/>
                  <c:y val="-9.629106706489322E-3"/>
                </c:manualLayout>
              </c:layout>
              <c:showCatName val="1"/>
              <c:showPercent val="1"/>
            </c:dLbl>
            <c:spPr>
              <a:ln>
                <a:solidFill>
                  <a:schemeClr val="bg1">
                    <a:lumMod val="85000"/>
                  </a:schemeClr>
                </a:solidFill>
              </a:ln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земля!$A$3:$A$11</c:f>
              <c:strCache>
                <c:ptCount val="9"/>
                <c:pt idx="0">
                  <c:v>Тюмень</c:v>
                </c:pt>
                <c:pt idx="1">
                  <c:v>Московский тракт</c:v>
                </c:pt>
                <c:pt idx="2">
                  <c:v>Червишевский тракт</c:v>
                </c:pt>
                <c:pt idx="3">
                  <c:v>Велижанский тракт</c:v>
                </c:pt>
                <c:pt idx="4">
                  <c:v>Салаирский тракт</c:v>
                </c:pt>
                <c:pt idx="5">
                  <c:v>Ялуторовский тракт</c:v>
                </c:pt>
                <c:pt idx="6">
                  <c:v>Ирбитский тракт</c:v>
                </c:pt>
                <c:pt idx="7">
                  <c:v>Тобольский тракт</c:v>
                </c:pt>
                <c:pt idx="8">
                  <c:v>Старый Тобольский тракт</c:v>
                </c:pt>
              </c:strCache>
            </c:strRef>
          </c:cat>
          <c:val>
            <c:numRef>
              <c:f>земля!$B$3:$B$11</c:f>
              <c:numCache>
                <c:formatCode>General</c:formatCode>
                <c:ptCount val="9"/>
                <c:pt idx="0">
                  <c:v>433</c:v>
                </c:pt>
                <c:pt idx="1">
                  <c:v>979</c:v>
                </c:pt>
                <c:pt idx="2">
                  <c:v>307</c:v>
                </c:pt>
                <c:pt idx="3">
                  <c:v>832</c:v>
                </c:pt>
                <c:pt idx="4">
                  <c:v>1495</c:v>
                </c:pt>
                <c:pt idx="5">
                  <c:v>463</c:v>
                </c:pt>
                <c:pt idx="6">
                  <c:v>559</c:v>
                </c:pt>
                <c:pt idx="7">
                  <c:v>345</c:v>
                </c:pt>
                <c:pt idx="8">
                  <c:v>422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Средняя цена земельных участков в разрезе по трактам, тыс.руб.</a:t>
            </a:r>
          </a:p>
        </c:rich>
      </c:tx>
      <c:layout>
        <c:manualLayout>
          <c:xMode val="edge"/>
          <c:yMode val="edge"/>
          <c:x val="0.14658472979339124"/>
          <c:y val="1.6871705750677674E-2"/>
        </c:manualLayout>
      </c:layout>
    </c:title>
    <c:plotArea>
      <c:layout>
        <c:manualLayout>
          <c:layoutTarget val="inner"/>
          <c:xMode val="edge"/>
          <c:yMode val="edge"/>
          <c:x val="6.8918572678415196E-2"/>
          <c:y val="0.10789743192481922"/>
          <c:w val="0.90953260650111045"/>
          <c:h val="0.48622340463572844"/>
        </c:manualLayout>
      </c:layout>
      <c:barChart>
        <c:barDir val="col"/>
        <c:grouping val="clustered"/>
        <c:ser>
          <c:idx val="0"/>
          <c:order val="0"/>
          <c:tx>
            <c:strRef>
              <c:f>земля!$C$24</c:f>
              <c:strCache>
                <c:ptCount val="1"/>
                <c:pt idx="0">
                  <c:v>2 кв.2014</c:v>
                </c:pt>
              </c:strCache>
            </c:strRef>
          </c:tx>
          <c:dLbls>
            <c:dLbl>
              <c:idx val="1"/>
              <c:layout>
                <c:manualLayout>
                  <c:x val="-7.9365079365079413E-3"/>
                  <c:y val="1.2944980520097718E-2"/>
                </c:manualLayout>
              </c:layout>
              <c:showVal val="1"/>
            </c:dLbl>
            <c:dLbl>
              <c:idx val="2"/>
              <c:layout>
                <c:manualLayout>
                  <c:x val="-5.9523809523809521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9.9206349206350068E-3"/>
                  <c:y val="3.2362451300244227E-3"/>
                </c:manualLayout>
              </c:layout>
              <c:showVal val="1"/>
            </c:dLbl>
            <c:dLbl>
              <c:idx val="6"/>
              <c:layout>
                <c:manualLayout>
                  <c:x val="-1.9841269841269996E-3"/>
                  <c:y val="9.7087353900732892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земля!$A$25:$A$33</c:f>
              <c:strCache>
                <c:ptCount val="9"/>
                <c:pt idx="0">
                  <c:v>Тюмень</c:v>
                </c:pt>
                <c:pt idx="1">
                  <c:v>Ирбитский тракт</c:v>
                </c:pt>
                <c:pt idx="2">
                  <c:v>Червишевский тракт</c:v>
                </c:pt>
                <c:pt idx="3">
                  <c:v>Московский тракт</c:v>
                </c:pt>
                <c:pt idx="4">
                  <c:v>Ялуторовский тракт</c:v>
                </c:pt>
                <c:pt idx="5">
                  <c:v>Тобольский тракт</c:v>
                </c:pt>
                <c:pt idx="6">
                  <c:v>Старый Тобольский тракт</c:v>
                </c:pt>
                <c:pt idx="7">
                  <c:v>Велижанский тракт</c:v>
                </c:pt>
                <c:pt idx="8">
                  <c:v>Салаирский тракт</c:v>
                </c:pt>
              </c:strCache>
            </c:strRef>
          </c:cat>
          <c:val>
            <c:numRef>
              <c:f>земля!$C$25:$C$33</c:f>
              <c:numCache>
                <c:formatCode>0</c:formatCode>
                <c:ptCount val="9"/>
                <c:pt idx="0">
                  <c:v>3494.309927360775</c:v>
                </c:pt>
                <c:pt idx="1">
                  <c:v>2551.4703087886001</c:v>
                </c:pt>
                <c:pt idx="2">
                  <c:v>1851.2361111111111</c:v>
                </c:pt>
                <c:pt idx="3">
                  <c:v>1698.7349943374825</c:v>
                </c:pt>
                <c:pt idx="4">
                  <c:v>1400.2064220183445</c:v>
                </c:pt>
                <c:pt idx="5">
                  <c:v>1355.694864048334</c:v>
                </c:pt>
                <c:pt idx="6">
                  <c:v>1303.0619266055046</c:v>
                </c:pt>
                <c:pt idx="7">
                  <c:v>843.84505208333246</c:v>
                </c:pt>
                <c:pt idx="8">
                  <c:v>809.1949860724236</c:v>
                </c:pt>
              </c:numCache>
            </c:numRef>
          </c:val>
        </c:ser>
        <c:ser>
          <c:idx val="1"/>
          <c:order val="1"/>
          <c:tx>
            <c:strRef>
              <c:f>земля!$D$24</c:f>
              <c:strCache>
                <c:ptCount val="1"/>
                <c:pt idx="0">
                  <c:v>3 кв.2014</c:v>
                </c:pt>
              </c:strCache>
            </c:strRef>
          </c:tx>
          <c:dLbls>
            <c:dLbl>
              <c:idx val="2"/>
              <c:layout>
                <c:manualLayout>
                  <c:x val="5.9523809523809521E-3"/>
                  <c:y val="9.7087353900732892E-3"/>
                </c:manualLayout>
              </c:layout>
              <c:showVal val="1"/>
            </c:dLbl>
            <c:dLbl>
              <c:idx val="3"/>
              <c:layout>
                <c:manualLayout>
                  <c:x val="3.9682539682539802E-3"/>
                  <c:y val="9.7087353900732892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val>
            <c:numRef>
              <c:f>земля!$D$25:$D$33</c:f>
              <c:numCache>
                <c:formatCode>0</c:formatCode>
                <c:ptCount val="9"/>
                <c:pt idx="0">
                  <c:v>4743.3372093023245</c:v>
                </c:pt>
                <c:pt idx="1">
                  <c:v>2139.1663652802895</c:v>
                </c:pt>
                <c:pt idx="2">
                  <c:v>1800.0197368421052</c:v>
                </c:pt>
                <c:pt idx="3">
                  <c:v>1574.8671472708506</c:v>
                </c:pt>
                <c:pt idx="4">
                  <c:v>1411.1681222707398</c:v>
                </c:pt>
                <c:pt idx="5">
                  <c:v>1478.4558823529412</c:v>
                </c:pt>
                <c:pt idx="6">
                  <c:v>997.04545454545439</c:v>
                </c:pt>
                <c:pt idx="7">
                  <c:v>771.47451456310853</c:v>
                </c:pt>
                <c:pt idx="8">
                  <c:v>814.07364864865099</c:v>
                </c:pt>
              </c:numCache>
            </c:numRef>
          </c:val>
        </c:ser>
        <c:overlap val="-16"/>
        <c:axId val="96502528"/>
        <c:axId val="96504064"/>
      </c:barChart>
      <c:catAx>
        <c:axId val="9650252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6504064"/>
        <c:crosses val="autoZero"/>
        <c:auto val="1"/>
        <c:lblAlgn val="ctr"/>
        <c:lblOffset val="100"/>
      </c:catAx>
      <c:valAx>
        <c:axId val="96504064"/>
        <c:scaling>
          <c:orientation val="minMax"/>
          <c:max val="480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4.7572178477690293E-4"/>
              <c:y val="6.6017871717791304E-2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65025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0139292684568249"/>
          <c:y val="0.10045413260672115"/>
          <c:w val="0.43524816609462352"/>
          <c:h val="0.1269737604325345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Структура предложения домов по направлениям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
</a:t>
            </a:r>
          </a:p>
        </c:rich>
      </c:tx>
      <c:layout>
        <c:manualLayout>
          <c:xMode val="edge"/>
          <c:yMode val="edge"/>
          <c:x val="6.275422176001591E-2"/>
          <c:y val="0"/>
        </c:manualLayout>
      </c:layout>
    </c:title>
    <c:plotArea>
      <c:layout>
        <c:manualLayout>
          <c:layoutTarget val="inner"/>
          <c:xMode val="edge"/>
          <c:yMode val="edge"/>
          <c:x val="0.32417231332322288"/>
          <c:y val="0.23161315151204018"/>
          <c:w val="0.4221656787283613"/>
          <c:h val="0.58524525555801232"/>
        </c:manualLayout>
      </c:layout>
      <c:pieChart>
        <c:varyColors val="1"/>
        <c:ser>
          <c:idx val="0"/>
          <c:order val="0"/>
          <c:explosion val="1"/>
          <c:dLbls>
            <c:dLbl>
              <c:idx val="0"/>
              <c:layout>
                <c:manualLayout>
                  <c:x val="0.11649941005080787"/>
                  <c:y val="0.145732558358745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9.7982999831443082E-2"/>
                  <c:y val="0.1245798085792835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5589684316983433E-2"/>
                  <c:y val="2.247890023123123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184916564328541"/>
                  <c:y val="3.310533079977925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7740944939511918"/>
                  <c:y val="-7.9058719211694724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0007695827012462"/>
                  <c:y val="-4.8713276521221895E-3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5839264128681171"/>
                  <c:y val="-2.7718819700095002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3.8105085920863681E-2"/>
                  <c:y val="-1.2203020077035841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31755808301740207"/>
                  <c:y val="5.6809526325987778E-2"/>
                </c:manualLayout>
              </c:layout>
              <c:showCatName val="1"/>
              <c:showPercent val="1"/>
            </c:dLbl>
            <c:spPr>
              <a:ln>
                <a:solidFill>
                  <a:schemeClr val="bg1">
                    <a:lumMod val="85000"/>
                  </a:schemeClr>
                </a:solidFill>
              </a:ln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дома!$A$3:$A$11</c:f>
              <c:strCache>
                <c:ptCount val="9"/>
                <c:pt idx="0">
                  <c:v>черта г.Тюмень</c:v>
                </c:pt>
                <c:pt idx="1">
                  <c:v>Московский тракт</c:v>
                </c:pt>
                <c:pt idx="2">
                  <c:v>Червишевский тракт</c:v>
                </c:pt>
                <c:pt idx="3">
                  <c:v>Велижанский тракт</c:v>
                </c:pt>
                <c:pt idx="4">
                  <c:v>Салаирский тракт</c:v>
                </c:pt>
                <c:pt idx="5">
                  <c:v>Ялуторовский тракт</c:v>
                </c:pt>
                <c:pt idx="6">
                  <c:v>Ирбитский тракт</c:v>
                </c:pt>
                <c:pt idx="7">
                  <c:v>Тобольский тракт</c:v>
                </c:pt>
                <c:pt idx="8">
                  <c:v>Старый Тобольский тракт</c:v>
                </c:pt>
              </c:strCache>
            </c:strRef>
          </c:cat>
          <c:val>
            <c:numRef>
              <c:f>дома!$B$3:$B$11</c:f>
              <c:numCache>
                <c:formatCode>General</c:formatCode>
                <c:ptCount val="9"/>
                <c:pt idx="0">
                  <c:v>786</c:v>
                </c:pt>
                <c:pt idx="1">
                  <c:v>308</c:v>
                </c:pt>
                <c:pt idx="2">
                  <c:v>264</c:v>
                </c:pt>
                <c:pt idx="3">
                  <c:v>277</c:v>
                </c:pt>
                <c:pt idx="4">
                  <c:v>307</c:v>
                </c:pt>
                <c:pt idx="5">
                  <c:v>314</c:v>
                </c:pt>
                <c:pt idx="6">
                  <c:v>174</c:v>
                </c:pt>
                <c:pt idx="7">
                  <c:v>142</c:v>
                </c:pt>
                <c:pt idx="8">
                  <c:v>99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ru-RU" sz="1050">
                <a:latin typeface="Arial" pitchFamily="34" charset="0"/>
                <a:cs typeface="Arial" pitchFamily="34" charset="0"/>
              </a:rPr>
              <a:t>Динамика средней цены домов в разрезе по трактам, тыс.руб.</a:t>
            </a:r>
          </a:p>
        </c:rich>
      </c:tx>
      <c:layout>
        <c:manualLayout>
          <c:xMode val="edge"/>
          <c:yMode val="edge"/>
          <c:x val="0.17344673261996146"/>
          <c:y val="1.6072701894922165E-3"/>
        </c:manualLayout>
      </c:layout>
    </c:title>
    <c:plotArea>
      <c:layout>
        <c:manualLayout>
          <c:layoutTarget val="inner"/>
          <c:xMode val="edge"/>
          <c:yMode val="edge"/>
          <c:x val="6.8511468834062089E-2"/>
          <c:y val="0.10789731469894549"/>
          <c:w val="0.86893431246654385"/>
          <c:h val="0.54229030554380164"/>
        </c:manualLayout>
      </c:layout>
      <c:barChart>
        <c:barDir val="col"/>
        <c:grouping val="clustered"/>
        <c:ser>
          <c:idx val="0"/>
          <c:order val="0"/>
          <c:tx>
            <c:strRef>
              <c:f>дома!$C$23</c:f>
              <c:strCache>
                <c:ptCount val="1"/>
                <c:pt idx="0">
                  <c:v>2 кв.2014</c:v>
                </c:pt>
              </c:strCache>
            </c:strRef>
          </c:tx>
          <c:dLbls>
            <c:dLbl>
              <c:idx val="1"/>
              <c:layout>
                <c:manualLayout>
                  <c:x val="-7.9365079365079413E-3"/>
                  <c:y val="1.2944980520097718E-2"/>
                </c:manualLayout>
              </c:layout>
              <c:showVal val="1"/>
            </c:dLbl>
            <c:dLbl>
              <c:idx val="2"/>
              <c:layout>
                <c:manualLayout>
                  <c:x val="-6.4102564102564213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9.9206349206349947E-3"/>
                  <c:y val="3.2362451300244227E-3"/>
                </c:manualLayout>
              </c:layout>
              <c:showVal val="1"/>
            </c:dLbl>
            <c:dLbl>
              <c:idx val="6"/>
              <c:layout>
                <c:manualLayout>
                  <c:x val="-1.4804663840096832E-2"/>
                  <c:y val="9.7088586470044196E-3"/>
                </c:manualLayout>
              </c:layout>
              <c:showVal val="1"/>
            </c:dLbl>
            <c:dLbl>
              <c:idx val="7"/>
              <c:layout>
                <c:manualLayout>
                  <c:x val="-9.0334223824876641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1.282051282051282E-2"/>
                  <c:y val="-3.8535645472061808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дома!$A$24:$A$32</c:f>
              <c:strCache>
                <c:ptCount val="9"/>
                <c:pt idx="0">
                  <c:v>черта г.Тюмень</c:v>
                </c:pt>
                <c:pt idx="1">
                  <c:v>Ирбитский тракт</c:v>
                </c:pt>
                <c:pt idx="2">
                  <c:v>Салаирский тракт</c:v>
                </c:pt>
                <c:pt idx="3">
                  <c:v>Московский тракт</c:v>
                </c:pt>
                <c:pt idx="4">
                  <c:v>Старый Тобольский тракт</c:v>
                </c:pt>
                <c:pt idx="5">
                  <c:v>Ялуторовский тракт</c:v>
                </c:pt>
                <c:pt idx="6">
                  <c:v>Тобольский тракт</c:v>
                </c:pt>
                <c:pt idx="7">
                  <c:v>Червишевский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дома!$C$24:$C$32</c:f>
              <c:numCache>
                <c:formatCode>0</c:formatCode>
                <c:ptCount val="9"/>
                <c:pt idx="0">
                  <c:v>4206.8485675306956</c:v>
                </c:pt>
                <c:pt idx="1">
                  <c:v>4124.4326241134813</c:v>
                </c:pt>
                <c:pt idx="2">
                  <c:v>3776.094890510949</c:v>
                </c:pt>
                <c:pt idx="3">
                  <c:v>3634.1785714285697</c:v>
                </c:pt>
                <c:pt idx="4">
                  <c:v>3632.5531914893622</c:v>
                </c:pt>
                <c:pt idx="5">
                  <c:v>3624.3506493506493</c:v>
                </c:pt>
                <c:pt idx="6">
                  <c:v>3251.9285714285697</c:v>
                </c:pt>
                <c:pt idx="7">
                  <c:v>2960.3056768558972</c:v>
                </c:pt>
                <c:pt idx="8">
                  <c:v>2792.5974025974056</c:v>
                </c:pt>
              </c:numCache>
            </c:numRef>
          </c:val>
        </c:ser>
        <c:ser>
          <c:idx val="1"/>
          <c:order val="1"/>
          <c:tx>
            <c:strRef>
              <c:f>дома!$D$23</c:f>
              <c:strCache>
                <c:ptCount val="1"/>
                <c:pt idx="0">
                  <c:v>3 кв.2014</c:v>
                </c:pt>
              </c:strCache>
            </c:strRef>
          </c:tx>
          <c:dLbls>
            <c:dLbl>
              <c:idx val="0"/>
              <c:layout>
                <c:manualLayout>
                  <c:x val="1.785714285714285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3944074298405048E-3"/>
                  <c:y val="-8.4742008405018741E-3"/>
                </c:manualLayout>
              </c:layout>
              <c:showVal val="1"/>
            </c:dLbl>
            <c:dLbl>
              <c:idx val="2"/>
              <c:layout>
                <c:manualLayout>
                  <c:x val="1.2362541220808905E-2"/>
                  <c:y val="9.7088586470043849E-3"/>
                </c:manualLayout>
              </c:layout>
              <c:showVal val="1"/>
            </c:dLbl>
            <c:dLbl>
              <c:idx val="3"/>
              <c:layout>
                <c:manualLayout>
                  <c:x val="1.7857142857142856E-2"/>
                  <c:y val="9.7084805676221266E-3"/>
                </c:manualLayout>
              </c:layout>
              <c:showVal val="1"/>
            </c:dLbl>
            <c:dLbl>
              <c:idx val="4"/>
              <c:layout>
                <c:manualLayout>
                  <c:x val="7.936507936507941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282051282051282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9.9206349206349947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5.9523809523809521E-3"/>
                  <c:y val="-6.4724902600488904E-3"/>
                </c:manualLayout>
              </c:layout>
              <c:showVal val="1"/>
            </c:dLbl>
            <c:dLbl>
              <c:idx val="8"/>
              <c:layout>
                <c:manualLayout>
                  <c:x val="9.9206349206349947E-3"/>
                  <c:y val="-2.9665237663201237E-17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дома!$A$24:$A$32</c:f>
              <c:strCache>
                <c:ptCount val="9"/>
                <c:pt idx="0">
                  <c:v>черта г.Тюмень</c:v>
                </c:pt>
                <c:pt idx="1">
                  <c:v>Ирбитский тракт</c:v>
                </c:pt>
                <c:pt idx="2">
                  <c:v>Салаирский тракт</c:v>
                </c:pt>
                <c:pt idx="3">
                  <c:v>Московский тракт</c:v>
                </c:pt>
                <c:pt idx="4">
                  <c:v>Старый Тобольский тракт</c:v>
                </c:pt>
                <c:pt idx="5">
                  <c:v>Ялуторовский тракт</c:v>
                </c:pt>
                <c:pt idx="6">
                  <c:v>Тобольский тракт</c:v>
                </c:pt>
                <c:pt idx="7">
                  <c:v>Червишевский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дома!$D$24:$D$32</c:f>
              <c:numCache>
                <c:formatCode>0</c:formatCode>
                <c:ptCount val="9"/>
                <c:pt idx="0">
                  <c:v>4208.4190231362472</c:v>
                </c:pt>
                <c:pt idx="1">
                  <c:v>4182.3837209302283</c:v>
                </c:pt>
                <c:pt idx="2">
                  <c:v>3735.8223684210507</c:v>
                </c:pt>
                <c:pt idx="3">
                  <c:v>3471.8360655737706</c:v>
                </c:pt>
                <c:pt idx="4">
                  <c:v>3645.408163265306</c:v>
                </c:pt>
                <c:pt idx="5">
                  <c:v>3683.7942122186496</c:v>
                </c:pt>
                <c:pt idx="6">
                  <c:v>3118.8571428571472</c:v>
                </c:pt>
                <c:pt idx="7">
                  <c:v>2955.2107279693491</c:v>
                </c:pt>
                <c:pt idx="8">
                  <c:v>2656.7153284671531</c:v>
                </c:pt>
              </c:numCache>
            </c:numRef>
          </c:val>
        </c:ser>
        <c:overlap val="-16"/>
        <c:axId val="99197312"/>
        <c:axId val="99199616"/>
      </c:barChart>
      <c:lineChart>
        <c:grouping val="standard"/>
        <c:ser>
          <c:idx val="2"/>
          <c:order val="2"/>
          <c:tx>
            <c:strRef>
              <c:f>дома!$E$23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prstDash val="dashDot"/>
            </a:ln>
          </c:spPr>
          <c:marker>
            <c:symbol val="circle"/>
            <c:size val="7"/>
            <c:spPr>
              <a:solidFill>
                <a:schemeClr val="accent3">
                  <a:lumMod val="60000"/>
                  <a:lumOff val="40000"/>
                </a:schemeClr>
              </a:solidFill>
            </c:spPr>
          </c:marker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дома!$A$24:$A$32</c:f>
              <c:strCache>
                <c:ptCount val="9"/>
                <c:pt idx="0">
                  <c:v>черта г.Тюмень</c:v>
                </c:pt>
                <c:pt idx="1">
                  <c:v>Ирбитский тракт</c:v>
                </c:pt>
                <c:pt idx="2">
                  <c:v>Салаирский тракт</c:v>
                </c:pt>
                <c:pt idx="3">
                  <c:v>Московский тракт</c:v>
                </c:pt>
                <c:pt idx="4">
                  <c:v>Старый Тобольский тракт</c:v>
                </c:pt>
                <c:pt idx="5">
                  <c:v>Ялуторовский тракт</c:v>
                </c:pt>
                <c:pt idx="6">
                  <c:v>Тобольский тракт</c:v>
                </c:pt>
                <c:pt idx="7">
                  <c:v>Червишевский тракт</c:v>
                </c:pt>
                <c:pt idx="8">
                  <c:v>Велижанский тракт</c:v>
                </c:pt>
              </c:strCache>
            </c:strRef>
          </c:cat>
          <c:val>
            <c:numRef>
              <c:f>дома!$E$24:$E$32</c:f>
              <c:numCache>
                <c:formatCode>0.0</c:formatCode>
                <c:ptCount val="9"/>
                <c:pt idx="0">
                  <c:v>3.7330927898679603E-2</c:v>
                </c:pt>
                <c:pt idx="1">
                  <c:v>1.4050683354104749</c:v>
                </c:pt>
                <c:pt idx="2">
                  <c:v>-1.0665124489084841</c:v>
                </c:pt>
                <c:pt idx="3">
                  <c:v>-4.4671031613888363</c:v>
                </c:pt>
                <c:pt idx="4">
                  <c:v>0.35388254757182863</c:v>
                </c:pt>
                <c:pt idx="5">
                  <c:v>1.6401162199537975</c:v>
                </c:pt>
                <c:pt idx="6">
                  <c:v>-4.0920772288971481</c:v>
                </c:pt>
                <c:pt idx="7">
                  <c:v>-0.17210887802498567</c:v>
                </c:pt>
                <c:pt idx="8">
                  <c:v>-4.8657953346180545</c:v>
                </c:pt>
              </c:numCache>
            </c:numRef>
          </c:val>
          <c:smooth val="1"/>
        </c:ser>
        <c:marker val="1"/>
        <c:axId val="99302016"/>
        <c:axId val="99300480"/>
      </c:lineChart>
      <c:catAx>
        <c:axId val="99197312"/>
        <c:scaling>
          <c:orientation val="minMax"/>
        </c:scaling>
        <c:axPos val="b"/>
        <c:majorTickMark val="none"/>
        <c:tickLblPos val="nextTo"/>
        <c:txPr>
          <a:bodyPr rot="-204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9199616"/>
        <c:crosses val="autoZero"/>
        <c:auto val="1"/>
        <c:lblAlgn val="ctr"/>
        <c:lblOffset val="100"/>
      </c:catAx>
      <c:valAx>
        <c:axId val="99199616"/>
        <c:scaling>
          <c:orientation val="minMax"/>
          <c:max val="530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ru-RU" sz="800">
                    <a:latin typeface="Arial" pitchFamily="34" charset="0"/>
                    <a:cs typeface="Arial" pitchFamily="34" charset="0"/>
                  </a:rPr>
                  <a:t>тыс.руб.</a:t>
                </a:r>
              </a:p>
            </c:rich>
          </c:tx>
          <c:layout>
            <c:manualLayout>
              <c:xMode val="edge"/>
              <c:yMode val="edge"/>
              <c:x val="4.7572178477690293E-4"/>
              <c:y val="6.6017871717791304E-2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9197312"/>
        <c:crosses val="autoZero"/>
        <c:crossBetween val="between"/>
      </c:valAx>
      <c:valAx>
        <c:axId val="99300480"/>
        <c:scaling>
          <c:orientation val="minMax"/>
          <c:max val="10"/>
          <c:min val="-10"/>
        </c:scaling>
        <c:axPos val="r"/>
        <c:numFmt formatCode="0.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9302016"/>
        <c:crosses val="max"/>
        <c:crossBetween val="between"/>
      </c:valAx>
      <c:catAx>
        <c:axId val="99302016"/>
        <c:scaling>
          <c:orientation val="minMax"/>
        </c:scaling>
        <c:delete val="1"/>
        <c:axPos val="b"/>
        <c:tickLblPos val="nextTo"/>
        <c:crossAx val="99300480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59940330690986721"/>
          <c:y val="5.5654784366011803E-2"/>
          <c:w val="0.3044523979957065"/>
          <c:h val="0.15760475627447529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ru-RU" sz="1000">
                <a:latin typeface="Arial" pitchFamily="34" charset="0"/>
                <a:cs typeface="Arial" pitchFamily="34" charset="0"/>
              </a:rPr>
              <a:t>Структура предложения дач по направлениям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ru-RU" sz="1000">
                <a:latin typeface="Arial" pitchFamily="34" charset="0"/>
                <a:cs typeface="Arial" pitchFamily="34" charset="0"/>
              </a:rPr>
              <a:t>
</a:t>
            </a:r>
          </a:p>
        </c:rich>
      </c:tx>
      <c:layout>
        <c:manualLayout>
          <c:xMode val="edge"/>
          <c:yMode val="edge"/>
          <c:x val="0.19015589106407568"/>
          <c:y val="1.651187327202281E-2"/>
        </c:manualLayout>
      </c:layout>
    </c:title>
    <c:plotArea>
      <c:layout>
        <c:manualLayout>
          <c:layoutTarget val="inner"/>
          <c:xMode val="edge"/>
          <c:yMode val="edge"/>
          <c:x val="0.32810564941518233"/>
          <c:y val="0.36783614548181481"/>
          <c:w val="0.4221656787283613"/>
          <c:h val="0.585245255558012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448106142695463E-2"/>
                  <c:y val="3.014944545458684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8411134388018014E-2"/>
                  <c:y val="8.9966956751244363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5.6948541982710876E-2"/>
                  <c:y val="4.3015705131747198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9.6187242649714653E-3"/>
                  <c:y val="2.99293954899185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9453509595704221"/>
                  <c:y val="-1.6161808557180916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8212025331695925"/>
                  <c:y val="4.8792260481951913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23668010306051188"/>
                  <c:y val="-6.899850288015171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3.2842977196657991E-2"/>
                  <c:y val="-0.10522971331097516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9.7374653856341309E-2"/>
                  <c:y val="-8.0133616158753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Старый Тобольский тракт
0,1%</a:t>
                    </a:r>
                  </a:p>
                </c:rich>
              </c:tx>
              <c:showCatName val="1"/>
              <c:showPercent val="1"/>
            </c:dLbl>
            <c:spPr>
              <a:ln>
                <a:solidFill>
                  <a:schemeClr val="bg1">
                    <a:lumMod val="85000"/>
                  </a:schemeClr>
                </a:solidFill>
              </a:ln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дачи!$A$3:$A$11</c:f>
              <c:strCache>
                <c:ptCount val="9"/>
                <c:pt idx="0">
                  <c:v>черта г.Тюмень</c:v>
                </c:pt>
                <c:pt idx="1">
                  <c:v>Московский тракт</c:v>
                </c:pt>
                <c:pt idx="2">
                  <c:v>Червишевский тракт</c:v>
                </c:pt>
                <c:pt idx="3">
                  <c:v>Велижанский тракт</c:v>
                </c:pt>
                <c:pt idx="4">
                  <c:v>Салаирский тракт</c:v>
                </c:pt>
                <c:pt idx="5">
                  <c:v>Ялуторовский тракт</c:v>
                </c:pt>
                <c:pt idx="6">
                  <c:v>Ирбитский тракт</c:v>
                </c:pt>
                <c:pt idx="7">
                  <c:v>Тобольский тракт</c:v>
                </c:pt>
                <c:pt idx="8">
                  <c:v>Старый Тобольский тракт</c:v>
                </c:pt>
              </c:strCache>
            </c:strRef>
          </c:cat>
          <c:val>
            <c:numRef>
              <c:f>дачи!$B$3:$B$11</c:f>
              <c:numCache>
                <c:formatCode>General</c:formatCode>
                <c:ptCount val="9"/>
                <c:pt idx="0">
                  <c:v>145</c:v>
                </c:pt>
                <c:pt idx="1">
                  <c:v>315</c:v>
                </c:pt>
                <c:pt idx="2">
                  <c:v>49</c:v>
                </c:pt>
                <c:pt idx="3">
                  <c:v>391</c:v>
                </c:pt>
                <c:pt idx="4">
                  <c:v>624</c:v>
                </c:pt>
                <c:pt idx="5">
                  <c:v>353</c:v>
                </c:pt>
                <c:pt idx="6">
                  <c:v>11</c:v>
                </c:pt>
                <c:pt idx="7">
                  <c:v>132</c:v>
                </c:pt>
                <c:pt idx="8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E0D8-AB77-48FA-B4AB-7A56407D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moiseeva</cp:lastModifiedBy>
  <cp:revision>31</cp:revision>
  <dcterms:created xsi:type="dcterms:W3CDTF">2014-10-13T09:17:00Z</dcterms:created>
  <dcterms:modified xsi:type="dcterms:W3CDTF">2014-10-15T03:51:00Z</dcterms:modified>
</cp:coreProperties>
</file>