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BA" w:rsidRPr="00AB76AD" w:rsidRDefault="00AB76AD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A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B76AD" w:rsidRPr="00AB76AD" w:rsidRDefault="00AB76AD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6A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AB76AD">
        <w:rPr>
          <w:rFonts w:ascii="Times New Roman" w:hAnsi="Times New Roman" w:cs="Times New Roman"/>
          <w:b/>
          <w:sz w:val="24"/>
          <w:szCs w:val="24"/>
        </w:rPr>
        <w:t>консенсус-оценки</w:t>
      </w:r>
      <w:proofErr w:type="gramEnd"/>
      <w:r w:rsidRPr="00AB76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индикаторов рынка</w:t>
      </w:r>
      <w:r w:rsidR="002D1E69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Pr="00AB7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6AD" w:rsidRPr="00AB76AD" w:rsidRDefault="007B0CCF" w:rsidP="00AB7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Московском регионе в но</w:t>
      </w:r>
      <w:r w:rsidR="00AB76AD" w:rsidRPr="00AB76AD">
        <w:rPr>
          <w:rFonts w:ascii="Times New Roman" w:hAnsi="Times New Roman" w:cs="Times New Roman"/>
          <w:b/>
          <w:sz w:val="24"/>
          <w:szCs w:val="24"/>
        </w:rPr>
        <w:t>ябре 2015 года</w:t>
      </w:r>
    </w:p>
    <w:p w:rsidR="00AB76AD" w:rsidRDefault="00AB76AD" w:rsidP="00AB7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6AD" w:rsidRDefault="00AB76AD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Съезда Московской ассоциации риэлторов, Комитет МАР по аналитике</w:t>
      </w:r>
      <w:r w:rsidR="00CE058B">
        <w:rPr>
          <w:rFonts w:ascii="Times New Roman" w:hAnsi="Times New Roman" w:cs="Times New Roman"/>
          <w:sz w:val="24"/>
          <w:szCs w:val="24"/>
        </w:rPr>
        <w:t xml:space="preserve"> и консалтингу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D1C">
        <w:rPr>
          <w:rFonts w:ascii="Times New Roman" w:hAnsi="Times New Roman" w:cs="Times New Roman"/>
          <w:sz w:val="24"/>
          <w:szCs w:val="24"/>
        </w:rPr>
        <w:t>продолжает 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консенсус-оценки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индикаторов рынка недвижимости в Московском регионе.</w:t>
      </w:r>
    </w:p>
    <w:p w:rsidR="00AB76AD" w:rsidRDefault="00AB76AD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является согласование результатов мониторинга сегментов рынка компаниями, имеющими аналитические подразделения и проводящими регулярный мониторинг</w:t>
      </w:r>
      <w:r w:rsidR="00595B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</w:t>
      </w:r>
      <w:r w:rsidR="00595B48">
        <w:rPr>
          <w:rFonts w:ascii="Times New Roman" w:hAnsi="Times New Roman" w:cs="Times New Roman"/>
          <w:sz w:val="24"/>
          <w:szCs w:val="24"/>
        </w:rPr>
        <w:t>компаний – членов МАР, других заинтересованных организаций и населения.</w:t>
      </w:r>
    </w:p>
    <w:p w:rsidR="00595B48" w:rsidRDefault="00AD51B3" w:rsidP="00AB76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5B48">
        <w:rPr>
          <w:rFonts w:ascii="Times New Roman" w:hAnsi="Times New Roman" w:cs="Times New Roman"/>
          <w:sz w:val="24"/>
          <w:szCs w:val="24"/>
        </w:rPr>
        <w:t>езультаты мониторинга представлены компаниями: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БЕСТ-Новострой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D92330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D92330">
        <w:rPr>
          <w:rFonts w:ascii="Times New Roman" w:hAnsi="Times New Roman" w:cs="Times New Roman"/>
          <w:sz w:val="24"/>
          <w:szCs w:val="24"/>
        </w:rPr>
        <w:t xml:space="preserve"> Т.</w:t>
      </w:r>
      <w:r w:rsidR="00F254BA">
        <w:rPr>
          <w:rFonts w:ascii="Times New Roman" w:hAnsi="Times New Roman" w:cs="Times New Roman"/>
          <w:sz w:val="24"/>
          <w:szCs w:val="24"/>
        </w:rPr>
        <w:t>В</w:t>
      </w:r>
      <w:r w:rsidR="009A6F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– первичный рынок жилья Москвы.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«МИЭЛЬ-Новостройки» </w:t>
      </w:r>
      <w:r w:rsidR="00D92330">
        <w:rPr>
          <w:rFonts w:ascii="Times New Roman" w:hAnsi="Times New Roman" w:cs="Times New Roman"/>
          <w:sz w:val="24"/>
          <w:szCs w:val="24"/>
        </w:rPr>
        <w:t>(Калмыков А.</w:t>
      </w:r>
      <w:r w:rsidR="00A9386A">
        <w:rPr>
          <w:rFonts w:ascii="Times New Roman" w:hAnsi="Times New Roman" w:cs="Times New Roman"/>
          <w:sz w:val="24"/>
          <w:szCs w:val="24"/>
        </w:rPr>
        <w:t>В.</w:t>
      </w:r>
      <w:r w:rsidR="00D92330">
        <w:rPr>
          <w:rFonts w:ascii="Times New Roman" w:hAnsi="Times New Roman" w:cs="Times New Roman"/>
          <w:sz w:val="24"/>
          <w:szCs w:val="24"/>
        </w:rPr>
        <w:t>)</w:t>
      </w:r>
      <w:r w:rsidR="002D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первичный рынок жилья Москвы и Московской области.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ГК «МИЭЛЬ» (</w:t>
      </w:r>
      <w:r w:rsidR="00D92330">
        <w:rPr>
          <w:rFonts w:ascii="Times New Roman" w:hAnsi="Times New Roman" w:cs="Times New Roman"/>
          <w:sz w:val="24"/>
          <w:szCs w:val="24"/>
        </w:rPr>
        <w:t xml:space="preserve">Витязева О. </w:t>
      </w:r>
      <w:r w:rsidR="00A9386A">
        <w:rPr>
          <w:rFonts w:ascii="Times New Roman" w:hAnsi="Times New Roman" w:cs="Times New Roman"/>
          <w:sz w:val="24"/>
          <w:szCs w:val="24"/>
        </w:rPr>
        <w:t>Ю</w:t>
      </w:r>
      <w:r w:rsidR="002D1E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– вторичный рынок жилья Москвы и Московской области.</w:t>
      </w:r>
    </w:p>
    <w:p w:rsidR="00595B48" w:rsidRDefault="00595B48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Консалтинг»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С.Г.) – первичный и вторичный рынок жилья Москвы и Московской области.</w:t>
      </w:r>
    </w:p>
    <w:p w:rsidR="00681A19" w:rsidRDefault="00681A19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«МИЭЛЬ-Аренда» (Жукова М.В.) – рынок аренды </w:t>
      </w:r>
      <w:r w:rsidR="00E4587E">
        <w:rPr>
          <w:rFonts w:ascii="Times New Roman" w:hAnsi="Times New Roman" w:cs="Times New Roman"/>
          <w:sz w:val="24"/>
          <w:szCs w:val="24"/>
        </w:rPr>
        <w:t>квартир</w:t>
      </w:r>
      <w:r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="00E4587E">
        <w:rPr>
          <w:rFonts w:ascii="Times New Roman" w:hAnsi="Times New Roman" w:cs="Times New Roman"/>
          <w:sz w:val="24"/>
          <w:szCs w:val="24"/>
        </w:rPr>
        <w:t xml:space="preserve"> и рынок аренды загородных домов в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D1C" w:rsidRPr="00FD3D1C" w:rsidRDefault="00CE058B" w:rsidP="00595B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3D1C" w:rsidRPr="00FD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3D1C" w:rsidRPr="00FD3D1C">
        <w:rPr>
          <w:rFonts w:ascii="Times New Roman" w:hAnsi="Times New Roman" w:cs="Times New Roman"/>
          <w:sz w:val="24"/>
          <w:szCs w:val="24"/>
        </w:rPr>
        <w:t>Vesco</w:t>
      </w:r>
      <w:proofErr w:type="spellEnd"/>
      <w:r w:rsidR="00FD3D1C" w:rsidRPr="00FD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1C" w:rsidRPr="00FD3D1C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FD3D1C" w:rsidRPr="00FD3D1C">
        <w:rPr>
          <w:rFonts w:ascii="Times New Roman" w:hAnsi="Times New Roman" w:cs="Times New Roman"/>
          <w:sz w:val="24"/>
          <w:szCs w:val="24"/>
        </w:rPr>
        <w:t xml:space="preserve"> (Аверьянов А.</w:t>
      </w:r>
      <w:r w:rsidR="00A31740">
        <w:rPr>
          <w:rFonts w:ascii="Times New Roman" w:hAnsi="Times New Roman" w:cs="Times New Roman"/>
          <w:sz w:val="24"/>
          <w:szCs w:val="24"/>
        </w:rPr>
        <w:t>Р.</w:t>
      </w:r>
      <w:r w:rsidR="00FD3D1C" w:rsidRPr="00FD3D1C">
        <w:rPr>
          <w:rFonts w:ascii="Times New Roman" w:hAnsi="Times New Roman" w:cs="Times New Roman"/>
          <w:sz w:val="24"/>
          <w:szCs w:val="24"/>
        </w:rPr>
        <w:t xml:space="preserve">) - первичный рынок продажи квартир в малоэтажных жилых комплексах (загородный формат) и первичный рынок продажи индивидуальных объектов </w:t>
      </w:r>
      <w:r w:rsidR="005C58D7">
        <w:rPr>
          <w:rFonts w:ascii="Times New Roman" w:hAnsi="Times New Roman" w:cs="Times New Roman"/>
          <w:sz w:val="24"/>
          <w:szCs w:val="24"/>
        </w:rPr>
        <w:t>(коттеджей,</w:t>
      </w:r>
      <w:r w:rsidR="00FD3D1C" w:rsidRPr="00FD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1C" w:rsidRPr="00FD3D1C">
        <w:rPr>
          <w:rFonts w:ascii="Times New Roman" w:hAnsi="Times New Roman" w:cs="Times New Roman"/>
          <w:sz w:val="24"/>
          <w:szCs w:val="24"/>
        </w:rPr>
        <w:t>таунхаусов</w:t>
      </w:r>
      <w:proofErr w:type="spellEnd"/>
      <w:r w:rsidR="005C58D7">
        <w:rPr>
          <w:rFonts w:ascii="Times New Roman" w:hAnsi="Times New Roman" w:cs="Times New Roman"/>
          <w:sz w:val="24"/>
          <w:szCs w:val="24"/>
        </w:rPr>
        <w:t>, земельных участков</w:t>
      </w:r>
      <w:r w:rsidR="00FD3D1C" w:rsidRPr="00FD3D1C">
        <w:rPr>
          <w:rFonts w:ascii="Times New Roman" w:hAnsi="Times New Roman" w:cs="Times New Roman"/>
          <w:sz w:val="24"/>
          <w:szCs w:val="24"/>
        </w:rPr>
        <w:t>).</w:t>
      </w:r>
    </w:p>
    <w:p w:rsidR="00595B48" w:rsidRDefault="00AD51B3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обработке</w:t>
      </w:r>
      <w:r w:rsidR="00595B48">
        <w:rPr>
          <w:rFonts w:ascii="Times New Roman" w:hAnsi="Times New Roman" w:cs="Times New Roman"/>
          <w:sz w:val="24"/>
          <w:szCs w:val="24"/>
        </w:rPr>
        <w:t xml:space="preserve"> данных были получены средневзвешенные (по объему предложения площадей) удельные цены предложения квартир</w:t>
      </w:r>
      <w:r w:rsidR="00237879">
        <w:rPr>
          <w:rFonts w:ascii="Times New Roman" w:hAnsi="Times New Roman" w:cs="Times New Roman"/>
          <w:sz w:val="24"/>
          <w:szCs w:val="24"/>
        </w:rPr>
        <w:t xml:space="preserve"> </w:t>
      </w:r>
      <w:r w:rsidR="00681A19">
        <w:rPr>
          <w:rFonts w:ascii="Times New Roman" w:hAnsi="Times New Roman" w:cs="Times New Roman"/>
          <w:sz w:val="24"/>
          <w:szCs w:val="24"/>
        </w:rPr>
        <w:t xml:space="preserve">на продажу </w:t>
      </w:r>
      <w:r w:rsidR="00237879">
        <w:rPr>
          <w:rFonts w:ascii="Times New Roman" w:hAnsi="Times New Roman" w:cs="Times New Roman"/>
          <w:sz w:val="24"/>
          <w:szCs w:val="24"/>
        </w:rPr>
        <w:t>(табл. 1</w:t>
      </w:r>
      <w:r w:rsidR="00595B48">
        <w:rPr>
          <w:rFonts w:ascii="Times New Roman" w:hAnsi="Times New Roman" w:cs="Times New Roman"/>
          <w:sz w:val="24"/>
          <w:szCs w:val="24"/>
        </w:rPr>
        <w:t>)</w:t>
      </w:r>
      <w:r w:rsidR="00681A19">
        <w:rPr>
          <w:rFonts w:ascii="Times New Roman" w:hAnsi="Times New Roman" w:cs="Times New Roman"/>
          <w:sz w:val="24"/>
          <w:szCs w:val="24"/>
        </w:rPr>
        <w:t>, стоимость найма квартиры на рынке аренды Москвы (табл. 2),</w:t>
      </w:r>
      <w:r w:rsidR="00237879">
        <w:rPr>
          <w:rFonts w:ascii="Times New Roman" w:hAnsi="Times New Roman" w:cs="Times New Roman"/>
          <w:sz w:val="24"/>
          <w:szCs w:val="24"/>
        </w:rPr>
        <w:t xml:space="preserve"> </w:t>
      </w:r>
      <w:r w:rsidR="00027F6C">
        <w:rPr>
          <w:rFonts w:ascii="Times New Roman" w:hAnsi="Times New Roman" w:cs="Times New Roman"/>
          <w:sz w:val="24"/>
          <w:szCs w:val="24"/>
        </w:rPr>
        <w:t xml:space="preserve">стоимость найма загородных домов (табл. 3), </w:t>
      </w:r>
      <w:r w:rsidR="00237879">
        <w:rPr>
          <w:rFonts w:ascii="Times New Roman" w:hAnsi="Times New Roman" w:cs="Times New Roman"/>
          <w:sz w:val="24"/>
          <w:szCs w:val="24"/>
        </w:rPr>
        <w:t>полные и удельные цены предложе</w:t>
      </w:r>
      <w:r w:rsidR="00681A19">
        <w:rPr>
          <w:rFonts w:ascii="Times New Roman" w:hAnsi="Times New Roman" w:cs="Times New Roman"/>
          <w:sz w:val="24"/>
          <w:szCs w:val="24"/>
        </w:rPr>
        <w:t xml:space="preserve">ния на продажу </w:t>
      </w:r>
      <w:r w:rsidR="00027F6C">
        <w:rPr>
          <w:rFonts w:ascii="Times New Roman" w:hAnsi="Times New Roman" w:cs="Times New Roman"/>
          <w:sz w:val="24"/>
          <w:szCs w:val="24"/>
        </w:rPr>
        <w:t>загородных объектов (табл. 4</w:t>
      </w:r>
      <w:r w:rsidR="00237879">
        <w:rPr>
          <w:rFonts w:ascii="Times New Roman" w:hAnsi="Times New Roman" w:cs="Times New Roman"/>
          <w:sz w:val="24"/>
          <w:szCs w:val="24"/>
        </w:rPr>
        <w:t>)</w:t>
      </w:r>
      <w:r w:rsidR="00595B48">
        <w:rPr>
          <w:rFonts w:ascii="Times New Roman" w:hAnsi="Times New Roman" w:cs="Times New Roman"/>
          <w:sz w:val="24"/>
          <w:szCs w:val="24"/>
        </w:rPr>
        <w:t>.</w:t>
      </w:r>
    </w:p>
    <w:p w:rsidR="00AD51B3" w:rsidRDefault="00AD51B3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48" w:rsidRDefault="00595B48" w:rsidP="0058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48">
        <w:rPr>
          <w:rFonts w:ascii="Times New Roman" w:hAnsi="Times New Roman" w:cs="Times New Roman"/>
          <w:b/>
          <w:sz w:val="24"/>
          <w:szCs w:val="24"/>
        </w:rPr>
        <w:t>Таблица</w:t>
      </w:r>
      <w:r w:rsidR="007876D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95B48">
        <w:rPr>
          <w:rFonts w:ascii="Times New Roman" w:hAnsi="Times New Roman" w:cs="Times New Roman"/>
          <w:b/>
          <w:sz w:val="24"/>
          <w:szCs w:val="24"/>
        </w:rPr>
        <w:t xml:space="preserve">. Консенсус-оценка </w:t>
      </w:r>
      <w:r w:rsidR="006B0B6B">
        <w:rPr>
          <w:rFonts w:ascii="Times New Roman" w:hAnsi="Times New Roman" w:cs="Times New Roman"/>
          <w:b/>
          <w:sz w:val="24"/>
          <w:szCs w:val="24"/>
        </w:rPr>
        <w:t xml:space="preserve">средних удельных цен </w:t>
      </w:r>
      <w:r w:rsidR="00B67EDE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6B0B6B">
        <w:rPr>
          <w:rFonts w:ascii="Times New Roman" w:hAnsi="Times New Roman" w:cs="Times New Roman"/>
          <w:b/>
          <w:sz w:val="24"/>
          <w:szCs w:val="24"/>
        </w:rPr>
        <w:t>на рынке продажи</w:t>
      </w:r>
      <w:r w:rsidR="00D96BA9">
        <w:rPr>
          <w:rFonts w:ascii="Times New Roman" w:hAnsi="Times New Roman" w:cs="Times New Roman"/>
          <w:b/>
          <w:sz w:val="24"/>
          <w:szCs w:val="24"/>
        </w:rPr>
        <w:t xml:space="preserve"> жилой недвижимости</w:t>
      </w:r>
      <w:r w:rsidRPr="00595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D6">
        <w:rPr>
          <w:rFonts w:ascii="Times New Roman" w:hAnsi="Times New Roman" w:cs="Times New Roman"/>
          <w:b/>
          <w:sz w:val="24"/>
          <w:szCs w:val="24"/>
        </w:rPr>
        <w:t xml:space="preserve">в Московском регионе в </w:t>
      </w:r>
      <w:r w:rsidR="005929F3">
        <w:rPr>
          <w:rFonts w:ascii="Times New Roman" w:hAnsi="Times New Roman" w:cs="Times New Roman"/>
          <w:b/>
          <w:sz w:val="24"/>
          <w:szCs w:val="24"/>
        </w:rPr>
        <w:t>но</w:t>
      </w:r>
      <w:r w:rsidRPr="00595B48">
        <w:rPr>
          <w:rFonts w:ascii="Times New Roman" w:hAnsi="Times New Roman" w:cs="Times New Roman"/>
          <w:b/>
          <w:sz w:val="24"/>
          <w:szCs w:val="24"/>
        </w:rPr>
        <w:t>ябре 2015 года</w:t>
      </w:r>
    </w:p>
    <w:p w:rsidR="00586FBF" w:rsidRPr="00595B48" w:rsidRDefault="00586FBF" w:rsidP="00586F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3128" w:type="dxa"/>
        <w:tblLook w:val="04A0"/>
      </w:tblPr>
      <w:tblGrid>
        <w:gridCol w:w="3696"/>
        <w:gridCol w:w="1455"/>
        <w:gridCol w:w="1522"/>
        <w:gridCol w:w="1559"/>
        <w:gridCol w:w="1424"/>
      </w:tblGrid>
      <w:tr w:rsidR="00237879" w:rsidRPr="00237879" w:rsidTr="00237879">
        <w:trPr>
          <w:jc w:val="center"/>
        </w:trPr>
        <w:tc>
          <w:tcPr>
            <w:tcW w:w="3696" w:type="dxa"/>
            <w:vMerge w:val="restart"/>
            <w:vAlign w:val="center"/>
          </w:tcPr>
          <w:p w:rsidR="00237879" w:rsidRPr="00237879" w:rsidRDefault="00237879" w:rsidP="00237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локация</w:t>
            </w:r>
          </w:p>
        </w:tc>
        <w:tc>
          <w:tcPr>
            <w:tcW w:w="2977" w:type="dxa"/>
            <w:gridSpan w:val="2"/>
          </w:tcPr>
          <w:p w:rsidR="00237879" w:rsidRPr="00237879" w:rsidRDefault="00237879" w:rsidP="0058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Первичный рынок</w:t>
            </w:r>
          </w:p>
        </w:tc>
        <w:tc>
          <w:tcPr>
            <w:tcW w:w="2983" w:type="dxa"/>
            <w:gridSpan w:val="2"/>
          </w:tcPr>
          <w:p w:rsidR="00237879" w:rsidRPr="00237879" w:rsidRDefault="00237879" w:rsidP="00586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Вторичный рынок</w:t>
            </w:r>
          </w:p>
        </w:tc>
      </w:tr>
      <w:tr w:rsidR="00237879" w:rsidRPr="00237879" w:rsidTr="00237879">
        <w:trPr>
          <w:jc w:val="center"/>
        </w:trPr>
        <w:tc>
          <w:tcPr>
            <w:tcW w:w="3696" w:type="dxa"/>
            <w:vMerge/>
          </w:tcPr>
          <w:p w:rsidR="00237879" w:rsidRPr="00237879" w:rsidRDefault="00237879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237879" w:rsidRPr="00237879" w:rsidRDefault="00237879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тыс. руб./кв. м</w:t>
            </w:r>
          </w:p>
        </w:tc>
        <w:tc>
          <w:tcPr>
            <w:tcW w:w="1522" w:type="dxa"/>
          </w:tcPr>
          <w:p w:rsidR="00237879" w:rsidRPr="00237879" w:rsidRDefault="00237879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изменение за месяц</w:t>
            </w:r>
          </w:p>
        </w:tc>
        <w:tc>
          <w:tcPr>
            <w:tcW w:w="1559" w:type="dxa"/>
          </w:tcPr>
          <w:p w:rsidR="00237879" w:rsidRPr="00237879" w:rsidRDefault="00237879" w:rsidP="0097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тыс. руб./кв. м</w:t>
            </w:r>
          </w:p>
        </w:tc>
        <w:tc>
          <w:tcPr>
            <w:tcW w:w="1424" w:type="dxa"/>
          </w:tcPr>
          <w:p w:rsidR="00237879" w:rsidRPr="00237879" w:rsidRDefault="00237879" w:rsidP="0097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за месяц</w:t>
            </w:r>
          </w:p>
        </w:tc>
      </w:tr>
      <w:tr w:rsidR="007246D5" w:rsidRPr="00237879" w:rsidTr="00237879">
        <w:trPr>
          <w:jc w:val="center"/>
        </w:trPr>
        <w:tc>
          <w:tcPr>
            <w:tcW w:w="3696" w:type="dxa"/>
          </w:tcPr>
          <w:p w:rsidR="007246D5" w:rsidRPr="00237879" w:rsidRDefault="007246D5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Москва (в старых границах)</w:t>
            </w:r>
          </w:p>
        </w:tc>
        <w:tc>
          <w:tcPr>
            <w:tcW w:w="1455" w:type="dxa"/>
          </w:tcPr>
          <w:p w:rsidR="007246D5" w:rsidRPr="005908CE" w:rsidRDefault="005908CE" w:rsidP="005908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7B0CCF">
              <w:rPr>
                <w:rFonts w:ascii="Calibri" w:hAnsi="Calibri"/>
                <w:color w:val="000000"/>
              </w:rPr>
              <w:t>2,1</w:t>
            </w:r>
          </w:p>
        </w:tc>
        <w:tc>
          <w:tcPr>
            <w:tcW w:w="1522" w:type="dxa"/>
          </w:tcPr>
          <w:p w:rsidR="007246D5" w:rsidRPr="00F923A2" w:rsidRDefault="007B0CCF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  <w:r w:rsidR="005908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246D5" w:rsidRPr="0081626B" w:rsidRDefault="00107806" w:rsidP="00F61A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626B">
              <w:rPr>
                <w:rFonts w:ascii="Times New Roman" w:hAnsi="Times New Roman" w:cs="Times New Roman"/>
                <w:sz w:val="20"/>
                <w:szCs w:val="20"/>
              </w:rPr>
              <w:t>225,5</w:t>
            </w:r>
          </w:p>
        </w:tc>
        <w:tc>
          <w:tcPr>
            <w:tcW w:w="1424" w:type="dxa"/>
          </w:tcPr>
          <w:p w:rsidR="007246D5" w:rsidRPr="00F923A2" w:rsidRDefault="007246D5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-0,8%</w:t>
            </w:r>
          </w:p>
        </w:tc>
      </w:tr>
      <w:tr w:rsidR="007246D5" w:rsidRPr="00237879" w:rsidTr="00237879">
        <w:trPr>
          <w:jc w:val="center"/>
        </w:trPr>
        <w:tc>
          <w:tcPr>
            <w:tcW w:w="3696" w:type="dxa"/>
          </w:tcPr>
          <w:p w:rsidR="007246D5" w:rsidRPr="00237879" w:rsidRDefault="007246D5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Новая Москва</w:t>
            </w:r>
          </w:p>
        </w:tc>
        <w:tc>
          <w:tcPr>
            <w:tcW w:w="1455" w:type="dxa"/>
          </w:tcPr>
          <w:p w:rsidR="007246D5" w:rsidRPr="00237879" w:rsidRDefault="007246D5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590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</w:t>
            </w:r>
            <w:r w:rsidR="007B0C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7246D5" w:rsidRPr="00F923A2" w:rsidRDefault="007B0CCF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  <w:r w:rsidR="005908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246D5" w:rsidRPr="0081626B" w:rsidRDefault="00107806" w:rsidP="009773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26B">
              <w:rPr>
                <w:rFonts w:ascii="Times New Roman" w:hAnsi="Times New Roman" w:cs="Times New Roman"/>
                <w:sz w:val="20"/>
                <w:szCs w:val="20"/>
              </w:rPr>
              <w:t>116,6</w:t>
            </w:r>
          </w:p>
        </w:tc>
        <w:tc>
          <w:tcPr>
            <w:tcW w:w="1424" w:type="dxa"/>
          </w:tcPr>
          <w:p w:rsidR="007246D5" w:rsidRPr="00F923A2" w:rsidRDefault="0065206D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  <w:r w:rsidR="007246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46D5" w:rsidRPr="00237879" w:rsidTr="00237879">
        <w:trPr>
          <w:jc w:val="center"/>
        </w:trPr>
        <w:tc>
          <w:tcPr>
            <w:tcW w:w="3696" w:type="dxa"/>
          </w:tcPr>
          <w:p w:rsidR="007246D5" w:rsidRPr="00237879" w:rsidRDefault="007246D5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Большая Москва (в новых границах)</w:t>
            </w:r>
          </w:p>
        </w:tc>
        <w:tc>
          <w:tcPr>
            <w:tcW w:w="1455" w:type="dxa"/>
          </w:tcPr>
          <w:p w:rsidR="007246D5" w:rsidRPr="00237879" w:rsidRDefault="007246D5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908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7B0C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22" w:type="dxa"/>
          </w:tcPr>
          <w:p w:rsidR="007246D5" w:rsidRPr="00F923A2" w:rsidRDefault="007B0CCF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  <w:r w:rsidR="005908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246D5" w:rsidRPr="00237879" w:rsidRDefault="007246D5" w:rsidP="009773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E499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24" w:type="dxa"/>
          </w:tcPr>
          <w:p w:rsidR="007246D5" w:rsidRPr="00F923A2" w:rsidRDefault="0065206D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  <w:r w:rsidR="007246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246D5" w:rsidRPr="00237879" w:rsidTr="00237879">
        <w:trPr>
          <w:jc w:val="center"/>
        </w:trPr>
        <w:tc>
          <w:tcPr>
            <w:tcW w:w="3696" w:type="dxa"/>
          </w:tcPr>
          <w:p w:rsidR="007246D5" w:rsidRPr="00237879" w:rsidRDefault="007246D5" w:rsidP="00586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sz w:val="20"/>
                <w:szCs w:val="20"/>
              </w:rPr>
              <w:t>Московская область (в новых границах)</w:t>
            </w:r>
          </w:p>
        </w:tc>
        <w:tc>
          <w:tcPr>
            <w:tcW w:w="1455" w:type="dxa"/>
          </w:tcPr>
          <w:p w:rsidR="007246D5" w:rsidRPr="00237879" w:rsidRDefault="007246D5" w:rsidP="004720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8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</w:t>
            </w:r>
            <w:r w:rsidR="007B0C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2" w:type="dxa"/>
          </w:tcPr>
          <w:p w:rsidR="007246D5" w:rsidRPr="00F923A2" w:rsidRDefault="007B0CCF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  <w:r w:rsidR="005908C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246D5" w:rsidRPr="00237879" w:rsidRDefault="007246D5" w:rsidP="009773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206D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24" w:type="dxa"/>
          </w:tcPr>
          <w:p w:rsidR="007246D5" w:rsidRPr="00F923A2" w:rsidRDefault="0065206D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  <w:r w:rsidR="007246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E058B" w:rsidRDefault="00CE058B" w:rsidP="0065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06D" w:rsidRDefault="0065206D" w:rsidP="00652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6B" w:rsidRDefault="006B0B6B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2. Консенсус-оценка </w:t>
      </w:r>
      <w:r>
        <w:rPr>
          <w:rFonts w:ascii="Times New Roman" w:hAnsi="Times New Roman" w:cs="Times New Roman"/>
          <w:b/>
          <w:sz w:val="24"/>
          <w:szCs w:val="24"/>
        </w:rPr>
        <w:t>стоимости</w:t>
      </w:r>
      <w:r w:rsidRPr="006B0B6B">
        <w:rPr>
          <w:rFonts w:ascii="Times New Roman" w:hAnsi="Times New Roman" w:cs="Times New Roman"/>
          <w:b/>
          <w:sz w:val="24"/>
          <w:szCs w:val="24"/>
        </w:rPr>
        <w:t xml:space="preserve"> найма на рынке ар</w:t>
      </w:r>
      <w:r>
        <w:rPr>
          <w:rFonts w:ascii="Times New Roman" w:hAnsi="Times New Roman" w:cs="Times New Roman"/>
          <w:b/>
          <w:sz w:val="24"/>
          <w:szCs w:val="24"/>
        </w:rPr>
        <w:t>енды квартир в Москве</w:t>
      </w:r>
    </w:p>
    <w:p w:rsidR="006B0B6B" w:rsidRPr="006B0B6B" w:rsidRDefault="006B0B6B" w:rsidP="006B0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6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929F3">
        <w:rPr>
          <w:rFonts w:ascii="Times New Roman" w:hAnsi="Times New Roman" w:cs="Times New Roman"/>
          <w:b/>
          <w:sz w:val="24"/>
          <w:szCs w:val="24"/>
        </w:rPr>
        <w:t>но</w:t>
      </w:r>
      <w:r w:rsidRPr="006B0B6B">
        <w:rPr>
          <w:rFonts w:ascii="Times New Roman" w:hAnsi="Times New Roman" w:cs="Times New Roman"/>
          <w:b/>
          <w:sz w:val="24"/>
          <w:szCs w:val="24"/>
        </w:rPr>
        <w:t>ябре 2015 года</w:t>
      </w:r>
    </w:p>
    <w:p w:rsidR="006B0B6B" w:rsidRDefault="006B0B6B" w:rsidP="006B0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959"/>
        <w:gridCol w:w="992"/>
        <w:gridCol w:w="851"/>
        <w:gridCol w:w="850"/>
        <w:gridCol w:w="992"/>
        <w:gridCol w:w="993"/>
        <w:gridCol w:w="850"/>
        <w:gridCol w:w="851"/>
        <w:gridCol w:w="850"/>
        <w:gridCol w:w="992"/>
        <w:gridCol w:w="851"/>
      </w:tblGrid>
      <w:tr w:rsidR="005929F3" w:rsidRPr="00990EA1" w:rsidTr="00BE7405">
        <w:trPr>
          <w:trHeight w:val="114"/>
        </w:trPr>
        <w:tc>
          <w:tcPr>
            <w:tcW w:w="959" w:type="dxa"/>
            <w:vMerge w:val="restart"/>
            <w:vAlign w:val="center"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0EA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9072" w:type="dxa"/>
            <w:gridSpan w:val="10"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EA1">
              <w:rPr>
                <w:rFonts w:ascii="Times New Roman" w:hAnsi="Times New Roman" w:cs="Times New Roman"/>
                <w:sz w:val="20"/>
                <w:szCs w:val="20"/>
              </w:rPr>
              <w:t>Средняя стоимость найма на рынке аренды квартир в Москве, тыс. руб.</w:t>
            </w:r>
            <w:r w:rsidR="00A91D57">
              <w:rPr>
                <w:rFonts w:ascii="Times New Roman" w:hAnsi="Times New Roman" w:cs="Times New Roman"/>
                <w:sz w:val="20"/>
                <w:szCs w:val="20"/>
              </w:rPr>
              <w:t>/месяц</w:t>
            </w:r>
          </w:p>
        </w:tc>
      </w:tr>
      <w:tr w:rsidR="005929F3" w:rsidRPr="00990EA1" w:rsidTr="00BE7405">
        <w:trPr>
          <w:trHeight w:val="114"/>
        </w:trPr>
        <w:tc>
          <w:tcPr>
            <w:tcW w:w="959" w:type="dxa"/>
            <w:vMerge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Эконом-класс</w:t>
            </w:r>
          </w:p>
        </w:tc>
        <w:tc>
          <w:tcPr>
            <w:tcW w:w="4536" w:type="dxa"/>
            <w:gridSpan w:val="5"/>
          </w:tcPr>
          <w:p w:rsidR="005929F3" w:rsidRPr="00990EA1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Бизнес-класс</w:t>
            </w:r>
          </w:p>
        </w:tc>
        <w:tc>
          <w:tcPr>
            <w:tcW w:w="851" w:type="dxa"/>
            <w:vMerge w:val="restart"/>
            <w:vAlign w:val="center"/>
          </w:tcPr>
          <w:p w:rsidR="005929F3" w:rsidRDefault="005929F3" w:rsidP="0059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няя</w:t>
            </w:r>
            <w:proofErr w:type="spellEnd"/>
            <w:proofErr w:type="gramEnd"/>
          </w:p>
        </w:tc>
      </w:tr>
      <w:tr w:rsidR="004C3D9B" w:rsidTr="00BE7405">
        <w:tc>
          <w:tcPr>
            <w:tcW w:w="959" w:type="dxa"/>
            <w:vMerge/>
          </w:tcPr>
          <w:p w:rsidR="005929F3" w:rsidRDefault="005929F3" w:rsidP="0002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51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</w:t>
            </w:r>
          </w:p>
        </w:tc>
        <w:tc>
          <w:tcPr>
            <w:tcW w:w="850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</w:t>
            </w:r>
          </w:p>
        </w:tc>
        <w:tc>
          <w:tcPr>
            <w:tcW w:w="992" w:type="dxa"/>
          </w:tcPr>
          <w:p w:rsidR="005929F3" w:rsidRPr="009C3828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5193">
              <w:rPr>
                <w:rFonts w:ascii="Times New Roman" w:hAnsi="Times New Roman" w:cs="Times New Roman"/>
                <w:sz w:val="20"/>
                <w:szCs w:val="20"/>
              </w:rPr>
              <w:t>3-комн</w:t>
            </w:r>
          </w:p>
        </w:tc>
        <w:tc>
          <w:tcPr>
            <w:tcW w:w="993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850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</w:t>
            </w:r>
          </w:p>
        </w:tc>
        <w:tc>
          <w:tcPr>
            <w:tcW w:w="851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</w:t>
            </w:r>
          </w:p>
        </w:tc>
        <w:tc>
          <w:tcPr>
            <w:tcW w:w="850" w:type="dxa"/>
          </w:tcPr>
          <w:p w:rsidR="005929F3" w:rsidRPr="009C3828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A5193">
              <w:rPr>
                <w:rFonts w:ascii="Times New Roman" w:hAnsi="Times New Roman" w:cs="Times New Roman"/>
                <w:sz w:val="20"/>
                <w:szCs w:val="20"/>
              </w:rPr>
              <w:t>3-комн</w:t>
            </w:r>
          </w:p>
        </w:tc>
        <w:tc>
          <w:tcPr>
            <w:tcW w:w="992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="004C3D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4C3D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:rsidR="005929F3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9F3" w:rsidTr="00BE7405">
        <w:tc>
          <w:tcPr>
            <w:tcW w:w="959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Окт.15</w:t>
            </w:r>
          </w:p>
        </w:tc>
        <w:tc>
          <w:tcPr>
            <w:tcW w:w="992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3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50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850" w:type="dxa"/>
          </w:tcPr>
          <w:p w:rsidR="005929F3" w:rsidRPr="00F923A2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992" w:type="dxa"/>
          </w:tcPr>
          <w:p w:rsidR="005929F3" w:rsidRPr="00F923A2" w:rsidRDefault="005929F3" w:rsidP="0010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Pr="00AA15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33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929F3" w:rsidRPr="00A33C41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1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29F3" w:rsidTr="00BE7405">
        <w:tc>
          <w:tcPr>
            <w:tcW w:w="959" w:type="dxa"/>
          </w:tcPr>
          <w:p w:rsidR="005929F3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Ноя.15</w:t>
            </w:r>
          </w:p>
        </w:tc>
        <w:tc>
          <w:tcPr>
            <w:tcW w:w="992" w:type="dxa"/>
          </w:tcPr>
          <w:p w:rsidR="005929F3" w:rsidRPr="00F923A2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</w:tcPr>
          <w:p w:rsidR="005929F3" w:rsidRPr="00F923A2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</w:tcPr>
          <w:p w:rsidR="005929F3" w:rsidRPr="00F923A2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5929F3" w:rsidRPr="00F923A2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3" w:type="dxa"/>
          </w:tcPr>
          <w:p w:rsidR="005929F3" w:rsidRPr="00F923A2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850" w:type="dxa"/>
          </w:tcPr>
          <w:p w:rsidR="005929F3" w:rsidRPr="00F923A2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5929F3" w:rsidRPr="00F923A2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</w:tcPr>
          <w:p w:rsidR="005929F3" w:rsidRPr="00F923A2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992" w:type="dxa"/>
          </w:tcPr>
          <w:p w:rsidR="005929F3" w:rsidRPr="00F923A2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</w:t>
            </w:r>
          </w:p>
        </w:tc>
        <w:tc>
          <w:tcPr>
            <w:tcW w:w="851" w:type="dxa"/>
          </w:tcPr>
          <w:p w:rsidR="005929F3" w:rsidRPr="00A33C41" w:rsidRDefault="005929F3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C41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5929F3" w:rsidTr="00BE7405">
        <w:tc>
          <w:tcPr>
            <w:tcW w:w="959" w:type="dxa"/>
          </w:tcPr>
          <w:p w:rsidR="005929F3" w:rsidRDefault="005929F3" w:rsidP="00023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="004C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месяц</w:t>
            </w:r>
          </w:p>
        </w:tc>
        <w:tc>
          <w:tcPr>
            <w:tcW w:w="992" w:type="dxa"/>
            <w:vAlign w:val="center"/>
          </w:tcPr>
          <w:p w:rsidR="005929F3" w:rsidRDefault="004C3D9B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-3,8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5929F3" w:rsidRDefault="004C3D9B" w:rsidP="0010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 w:rsidR="003B37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929F3" w:rsidRDefault="004C3D9B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-3,4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5929F3" w:rsidRDefault="004C3D9B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5929F3" w:rsidRDefault="004C3D9B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929F3" w:rsidRDefault="00BE7405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5929F3" w:rsidRDefault="00BE7405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-4,9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5929F3" w:rsidRDefault="00BE7405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5929F3" w:rsidRDefault="00BE7405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-25,0</w:t>
            </w:r>
            <w:r w:rsidR="005929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5929F3" w:rsidRDefault="00BE7405" w:rsidP="00BE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-6,6%</w:t>
            </w:r>
          </w:p>
        </w:tc>
      </w:tr>
    </w:tbl>
    <w:p w:rsidR="006B0B6B" w:rsidRDefault="006B0B6B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7" w:rsidRPr="006B0B6B" w:rsidRDefault="00A91D57" w:rsidP="00A91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6B0B6B">
        <w:rPr>
          <w:rFonts w:ascii="Times New Roman" w:hAnsi="Times New Roman" w:cs="Times New Roman"/>
          <w:b/>
          <w:sz w:val="24"/>
          <w:szCs w:val="24"/>
        </w:rPr>
        <w:t xml:space="preserve">. Консенсус-оценка </w:t>
      </w:r>
      <w:r>
        <w:rPr>
          <w:rFonts w:ascii="Times New Roman" w:hAnsi="Times New Roman" w:cs="Times New Roman"/>
          <w:b/>
          <w:sz w:val="24"/>
          <w:szCs w:val="24"/>
        </w:rPr>
        <w:t>стоимости</w:t>
      </w:r>
      <w:r w:rsidRPr="006B0B6B">
        <w:rPr>
          <w:rFonts w:ascii="Times New Roman" w:hAnsi="Times New Roman" w:cs="Times New Roman"/>
          <w:b/>
          <w:sz w:val="24"/>
          <w:szCs w:val="24"/>
        </w:rPr>
        <w:t xml:space="preserve"> найма на рынке ар</w:t>
      </w:r>
      <w:r>
        <w:rPr>
          <w:rFonts w:ascii="Times New Roman" w:hAnsi="Times New Roman" w:cs="Times New Roman"/>
          <w:b/>
          <w:sz w:val="24"/>
          <w:szCs w:val="24"/>
        </w:rPr>
        <w:t xml:space="preserve">енды загородных домов в Московской области </w:t>
      </w:r>
      <w:r w:rsidRPr="006B0B6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но</w:t>
      </w:r>
      <w:r w:rsidRPr="006B0B6B">
        <w:rPr>
          <w:rFonts w:ascii="Times New Roman" w:hAnsi="Times New Roman" w:cs="Times New Roman"/>
          <w:b/>
          <w:sz w:val="24"/>
          <w:szCs w:val="24"/>
        </w:rPr>
        <w:t>ябре 2015 года</w:t>
      </w:r>
    </w:p>
    <w:p w:rsidR="00A91D57" w:rsidRDefault="00A91D57" w:rsidP="006746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959"/>
        <w:gridCol w:w="850"/>
        <w:gridCol w:w="1117"/>
        <w:gridCol w:w="823"/>
        <w:gridCol w:w="1179"/>
        <w:gridCol w:w="850"/>
        <w:gridCol w:w="1134"/>
        <w:gridCol w:w="851"/>
        <w:gridCol w:w="1276"/>
        <w:gridCol w:w="992"/>
      </w:tblGrid>
      <w:tr w:rsidR="00A91D57" w:rsidTr="00A91D57">
        <w:tc>
          <w:tcPr>
            <w:tcW w:w="959" w:type="dxa"/>
            <w:vMerge w:val="restart"/>
            <w:shd w:val="clear" w:color="auto" w:fill="auto"/>
            <w:vAlign w:val="center"/>
          </w:tcPr>
          <w:p w:rsidR="008131CC" w:rsidRPr="00F923A2" w:rsidRDefault="008131CC" w:rsidP="00813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3A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9072" w:type="dxa"/>
            <w:gridSpan w:val="9"/>
            <w:shd w:val="clear" w:color="auto" w:fill="auto"/>
          </w:tcPr>
          <w:p w:rsidR="008131CC" w:rsidRDefault="008131CC" w:rsidP="00D22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DFE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найма загородных домов, </w:t>
            </w:r>
            <w:r w:rsidR="00BD7BB9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BB6DFE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6F6573" w:rsidRPr="00BB6DFE" w:rsidTr="00A91D57">
        <w:tc>
          <w:tcPr>
            <w:tcW w:w="959" w:type="dxa"/>
            <w:vMerge/>
            <w:shd w:val="clear" w:color="auto" w:fill="auto"/>
          </w:tcPr>
          <w:p w:rsidR="008131CC" w:rsidRDefault="008131CC" w:rsidP="00D22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131CC" w:rsidRPr="00BB6DFE" w:rsidRDefault="008131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E"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</w:p>
        </w:tc>
        <w:tc>
          <w:tcPr>
            <w:tcW w:w="1117" w:type="dxa"/>
            <w:shd w:val="clear" w:color="auto" w:fill="auto"/>
          </w:tcPr>
          <w:p w:rsidR="008131CC" w:rsidRPr="00BB6DFE" w:rsidRDefault="00007A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Сев.</w:t>
            </w:r>
            <w:r w:rsidR="008131CC" w:rsidRPr="00BB6DFE">
              <w:rPr>
                <w:rFonts w:ascii="Times New Roman" w:hAnsi="Times New Roman" w:cs="Times New Roman"/>
                <w:sz w:val="20"/>
                <w:szCs w:val="20"/>
              </w:rPr>
              <w:t>-вост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8131CC" w:rsidRPr="00BB6DFE" w:rsidRDefault="008131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E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</w:p>
        </w:tc>
        <w:tc>
          <w:tcPr>
            <w:tcW w:w="1179" w:type="dxa"/>
            <w:shd w:val="clear" w:color="auto" w:fill="auto"/>
          </w:tcPr>
          <w:p w:rsidR="008131CC" w:rsidRPr="00BB6DFE" w:rsidRDefault="008131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E">
              <w:rPr>
                <w:rFonts w:ascii="Times New Roman" w:hAnsi="Times New Roman" w:cs="Times New Roman"/>
                <w:sz w:val="20"/>
                <w:szCs w:val="20"/>
              </w:rPr>
              <w:t>Юго-Вост</w:t>
            </w:r>
            <w:r w:rsidR="00007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131CC" w:rsidRPr="00BB6DFE" w:rsidRDefault="008131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E">
              <w:rPr>
                <w:rFonts w:ascii="Times New Roman" w:hAnsi="Times New Roman" w:cs="Times New Roman"/>
                <w:sz w:val="20"/>
                <w:szCs w:val="20"/>
              </w:rPr>
              <w:t>Юг</w:t>
            </w:r>
          </w:p>
        </w:tc>
        <w:tc>
          <w:tcPr>
            <w:tcW w:w="1134" w:type="dxa"/>
            <w:shd w:val="clear" w:color="auto" w:fill="auto"/>
          </w:tcPr>
          <w:p w:rsidR="008131CC" w:rsidRPr="00BB6DFE" w:rsidRDefault="008131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E">
              <w:rPr>
                <w:rFonts w:ascii="Times New Roman" w:hAnsi="Times New Roman" w:cs="Times New Roman"/>
                <w:sz w:val="20"/>
                <w:szCs w:val="20"/>
              </w:rPr>
              <w:t>Юго-Зап</w:t>
            </w:r>
            <w:r w:rsidR="006F6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131CC" w:rsidRPr="00BB6DFE" w:rsidRDefault="008131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FE">
              <w:rPr>
                <w:rFonts w:ascii="Times New Roman" w:hAnsi="Times New Roman" w:cs="Times New Roman"/>
                <w:sz w:val="20"/>
                <w:szCs w:val="20"/>
              </w:rPr>
              <w:t>Запад</w:t>
            </w:r>
          </w:p>
        </w:tc>
        <w:tc>
          <w:tcPr>
            <w:tcW w:w="1276" w:type="dxa"/>
            <w:shd w:val="clear" w:color="auto" w:fill="auto"/>
          </w:tcPr>
          <w:p w:rsidR="008131CC" w:rsidRPr="00BB6DFE" w:rsidRDefault="00007A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131CC" w:rsidRPr="00BB6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131CC" w:rsidRPr="00BB6DFE">
              <w:rPr>
                <w:rFonts w:ascii="Times New Roman" w:hAnsi="Times New Roman" w:cs="Times New Roman"/>
                <w:sz w:val="20"/>
                <w:szCs w:val="20"/>
              </w:rPr>
              <w:t>Запад</w:t>
            </w:r>
          </w:p>
        </w:tc>
        <w:tc>
          <w:tcPr>
            <w:tcW w:w="992" w:type="dxa"/>
            <w:shd w:val="clear" w:color="auto" w:fill="auto"/>
          </w:tcPr>
          <w:p w:rsidR="008131CC" w:rsidRPr="00BB6DFE" w:rsidRDefault="00007A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</w:tr>
      <w:tr w:rsidR="006F6573" w:rsidRPr="004B220D" w:rsidTr="00A91D57">
        <w:tc>
          <w:tcPr>
            <w:tcW w:w="959" w:type="dxa"/>
            <w:shd w:val="clear" w:color="auto" w:fill="auto"/>
          </w:tcPr>
          <w:p w:rsidR="008131CC" w:rsidRPr="00F923A2" w:rsidRDefault="008131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Сен. 15</w:t>
            </w:r>
          </w:p>
        </w:tc>
        <w:tc>
          <w:tcPr>
            <w:tcW w:w="850" w:type="dxa"/>
            <w:shd w:val="clear" w:color="auto" w:fill="auto"/>
          </w:tcPr>
          <w:p w:rsidR="008131CC" w:rsidRPr="004B220D" w:rsidRDefault="008131CC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20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D7B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22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7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823" w:type="dxa"/>
            <w:shd w:val="clear" w:color="auto" w:fill="auto"/>
          </w:tcPr>
          <w:p w:rsidR="008131CC" w:rsidRPr="004B220D" w:rsidRDefault="00BD7BB9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9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8131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 w:rsidR="008131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131CC" w:rsidRPr="004B220D" w:rsidRDefault="008131CC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BD7BB9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276" w:type="dxa"/>
            <w:shd w:val="clear" w:color="auto" w:fill="auto"/>
          </w:tcPr>
          <w:p w:rsidR="008131CC" w:rsidRPr="004B220D" w:rsidRDefault="008131CC" w:rsidP="005F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5F22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31CC" w:rsidRPr="004B220D" w:rsidRDefault="005F226F" w:rsidP="005F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132,1</w:t>
            </w:r>
          </w:p>
        </w:tc>
      </w:tr>
      <w:tr w:rsidR="006F6573" w:rsidRPr="004B220D" w:rsidTr="00A91D57">
        <w:tc>
          <w:tcPr>
            <w:tcW w:w="959" w:type="dxa"/>
            <w:shd w:val="clear" w:color="auto" w:fill="auto"/>
          </w:tcPr>
          <w:p w:rsidR="008131CC" w:rsidRPr="00F923A2" w:rsidRDefault="008131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Окт.15</w:t>
            </w:r>
          </w:p>
        </w:tc>
        <w:tc>
          <w:tcPr>
            <w:tcW w:w="850" w:type="dxa"/>
            <w:shd w:val="clear" w:color="auto" w:fill="auto"/>
          </w:tcPr>
          <w:p w:rsidR="008131CC" w:rsidRPr="004B220D" w:rsidRDefault="008131CC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BD7B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7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8131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8131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9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 w:rsidR="00813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</w:t>
            </w:r>
            <w:r w:rsidR="008131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231,2</w:t>
            </w:r>
          </w:p>
        </w:tc>
        <w:tc>
          <w:tcPr>
            <w:tcW w:w="851" w:type="dxa"/>
            <w:shd w:val="clear" w:color="auto" w:fill="auto"/>
          </w:tcPr>
          <w:p w:rsidR="008131CC" w:rsidRPr="004B220D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284,9</w:t>
            </w:r>
          </w:p>
        </w:tc>
        <w:tc>
          <w:tcPr>
            <w:tcW w:w="1276" w:type="dxa"/>
            <w:shd w:val="clear" w:color="auto" w:fill="auto"/>
          </w:tcPr>
          <w:p w:rsidR="008131CC" w:rsidRPr="004B220D" w:rsidRDefault="008131CC" w:rsidP="005F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5F22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131CC" w:rsidRPr="004B220D" w:rsidRDefault="005F226F" w:rsidP="005F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</w:tr>
      <w:tr w:rsidR="006F6573" w:rsidRPr="00C51C65" w:rsidTr="00A91D57">
        <w:tc>
          <w:tcPr>
            <w:tcW w:w="959" w:type="dxa"/>
            <w:shd w:val="clear" w:color="auto" w:fill="auto"/>
          </w:tcPr>
          <w:p w:rsidR="008131CC" w:rsidRDefault="008131CC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Ноя.15</w:t>
            </w:r>
          </w:p>
        </w:tc>
        <w:tc>
          <w:tcPr>
            <w:tcW w:w="850" w:type="dxa"/>
            <w:shd w:val="clear" w:color="auto" w:fill="auto"/>
          </w:tcPr>
          <w:p w:rsidR="008131CC" w:rsidRPr="00406789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</w:t>
            </w:r>
            <w:r w:rsidR="008131CC" w:rsidRPr="00406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:rsidR="008131CC" w:rsidRPr="00406789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 w:rsidR="008131CC" w:rsidRPr="004067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8131CC" w:rsidRPr="00C51C65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8131CC" w:rsidRPr="00C51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9" w:type="dxa"/>
            <w:shd w:val="clear" w:color="auto" w:fill="auto"/>
          </w:tcPr>
          <w:p w:rsidR="008131CC" w:rsidRPr="00C51C65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shd w:val="clear" w:color="auto" w:fill="auto"/>
          </w:tcPr>
          <w:p w:rsidR="008131CC" w:rsidRPr="00C51C65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shd w:val="clear" w:color="auto" w:fill="auto"/>
          </w:tcPr>
          <w:p w:rsidR="008131CC" w:rsidRPr="00C51C65" w:rsidRDefault="00BD7BB9" w:rsidP="00BD7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8131CC" w:rsidRPr="00C51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131CC" w:rsidRPr="00C51C65" w:rsidRDefault="008131CC" w:rsidP="00107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6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="005F226F" w:rsidRPr="00AA15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33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131CC" w:rsidRPr="00C51C65" w:rsidRDefault="005F226F" w:rsidP="005F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</w:t>
            </w:r>
            <w:r w:rsidR="008131CC" w:rsidRPr="00C51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131CC" w:rsidRPr="00C51C65" w:rsidRDefault="005F226F" w:rsidP="005F2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</w:tr>
      <w:tr w:rsidR="006F6573" w:rsidRPr="00C51C65" w:rsidTr="00A91D57">
        <w:tc>
          <w:tcPr>
            <w:tcW w:w="959" w:type="dxa"/>
            <w:shd w:val="clear" w:color="auto" w:fill="auto"/>
          </w:tcPr>
          <w:p w:rsidR="005F226F" w:rsidRDefault="005F226F" w:rsidP="00D22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226F" w:rsidRDefault="009849B7" w:rsidP="0075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F226F">
              <w:rPr>
                <w:rFonts w:ascii="Times New Roman" w:hAnsi="Times New Roman" w:cs="Times New Roman"/>
                <w:sz w:val="20"/>
                <w:szCs w:val="20"/>
              </w:rPr>
              <w:t>25,7%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5F226F" w:rsidRDefault="009849B7" w:rsidP="0075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F226F">
              <w:rPr>
                <w:rFonts w:ascii="Times New Roman" w:hAnsi="Times New Roman" w:cs="Times New Roman"/>
                <w:sz w:val="20"/>
                <w:szCs w:val="20"/>
              </w:rPr>
              <w:t>46,5%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5F226F" w:rsidRDefault="005F226F" w:rsidP="0075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-25,1%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F226F" w:rsidRDefault="005F226F" w:rsidP="0075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226F" w:rsidRDefault="005F226F" w:rsidP="0075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-59,4%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226F" w:rsidRDefault="005F226F" w:rsidP="0075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-57,2%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226F" w:rsidRPr="00C51C65" w:rsidRDefault="005F226F" w:rsidP="0075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226F" w:rsidRPr="00C51C65" w:rsidRDefault="005F226F" w:rsidP="0075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26F" w:rsidRPr="00C51C65" w:rsidRDefault="005F226F" w:rsidP="00750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-28,4%</w:t>
            </w:r>
          </w:p>
        </w:tc>
      </w:tr>
    </w:tbl>
    <w:p w:rsidR="005929F3" w:rsidRDefault="005929F3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6D6" w:rsidRDefault="00A91D57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  <w:r w:rsidR="007876D6" w:rsidRPr="00721238">
        <w:rPr>
          <w:rFonts w:ascii="Times New Roman" w:hAnsi="Times New Roman" w:cs="Times New Roman"/>
          <w:b/>
          <w:sz w:val="24"/>
          <w:szCs w:val="24"/>
        </w:rPr>
        <w:t xml:space="preserve">. Консенсус-оценка </w:t>
      </w:r>
      <w:r w:rsidR="0088223F">
        <w:rPr>
          <w:rFonts w:ascii="Times New Roman" w:hAnsi="Times New Roman" w:cs="Times New Roman"/>
          <w:b/>
          <w:sz w:val="24"/>
          <w:szCs w:val="24"/>
        </w:rPr>
        <w:t xml:space="preserve">полных и удельных цен </w:t>
      </w:r>
      <w:r w:rsidR="00B67EDE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88223F">
        <w:rPr>
          <w:rFonts w:ascii="Times New Roman" w:hAnsi="Times New Roman" w:cs="Times New Roman"/>
          <w:b/>
          <w:sz w:val="24"/>
          <w:szCs w:val="24"/>
        </w:rPr>
        <w:t>на рынке продажи</w:t>
      </w:r>
      <w:r w:rsidR="007876D6" w:rsidRPr="00721238">
        <w:rPr>
          <w:rFonts w:ascii="Times New Roman" w:hAnsi="Times New Roman" w:cs="Times New Roman"/>
          <w:b/>
          <w:sz w:val="24"/>
          <w:szCs w:val="24"/>
        </w:rPr>
        <w:t xml:space="preserve"> загородной недвижимости </w:t>
      </w:r>
      <w:r w:rsidR="0067463C">
        <w:rPr>
          <w:rFonts w:ascii="Times New Roman" w:hAnsi="Times New Roman" w:cs="Times New Roman"/>
          <w:b/>
          <w:sz w:val="24"/>
          <w:szCs w:val="24"/>
        </w:rPr>
        <w:t>в Московском регионе в но</w:t>
      </w:r>
      <w:r w:rsidR="007876D6" w:rsidRPr="00595B48">
        <w:rPr>
          <w:rFonts w:ascii="Times New Roman" w:hAnsi="Times New Roman" w:cs="Times New Roman"/>
          <w:b/>
          <w:sz w:val="24"/>
          <w:szCs w:val="24"/>
        </w:rPr>
        <w:t>ябре 2015 года</w:t>
      </w:r>
    </w:p>
    <w:p w:rsidR="007876D6" w:rsidRDefault="007876D6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38" w:type="dxa"/>
        <w:jc w:val="center"/>
        <w:tblInd w:w="3770" w:type="dxa"/>
        <w:tblLayout w:type="fixed"/>
        <w:tblLook w:val="04A0"/>
      </w:tblPr>
      <w:tblGrid>
        <w:gridCol w:w="1060"/>
        <w:gridCol w:w="1134"/>
        <w:gridCol w:w="851"/>
        <w:gridCol w:w="992"/>
        <w:gridCol w:w="915"/>
        <w:gridCol w:w="850"/>
        <w:gridCol w:w="851"/>
        <w:gridCol w:w="850"/>
        <w:gridCol w:w="993"/>
        <w:gridCol w:w="850"/>
        <w:gridCol w:w="992"/>
      </w:tblGrid>
      <w:tr w:rsidR="0067463C" w:rsidRPr="00721238" w:rsidTr="0020480E">
        <w:trPr>
          <w:jc w:val="center"/>
        </w:trPr>
        <w:tc>
          <w:tcPr>
            <w:tcW w:w="1060" w:type="dxa"/>
            <w:vMerge w:val="restart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2" w:type="dxa"/>
            <w:gridSpan w:val="4"/>
            <w:vMerge w:val="restart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Первичный рынок продажи квартир в малоэтажных жилых комплексах</w:t>
            </w:r>
          </w:p>
        </w:tc>
        <w:tc>
          <w:tcPr>
            <w:tcW w:w="5386" w:type="dxa"/>
            <w:gridSpan w:val="6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Первичный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ынок продажи индивидуальных объектов</w:t>
            </w:r>
          </w:p>
        </w:tc>
      </w:tr>
      <w:tr w:rsidR="0067463C" w:rsidRPr="00721238" w:rsidTr="0020480E">
        <w:trPr>
          <w:jc w:val="center"/>
        </w:trPr>
        <w:tc>
          <w:tcPr>
            <w:tcW w:w="1060" w:type="dxa"/>
            <w:vMerge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2" w:type="dxa"/>
            <w:gridSpan w:val="4"/>
            <w:vMerge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коттеджи</w:t>
            </w:r>
          </w:p>
        </w:tc>
        <w:tc>
          <w:tcPr>
            <w:tcW w:w="1843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таунхаусы</w:t>
            </w:r>
            <w:proofErr w:type="spellEnd"/>
          </w:p>
        </w:tc>
        <w:tc>
          <w:tcPr>
            <w:tcW w:w="1842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 xml:space="preserve"> участки</w:t>
            </w:r>
          </w:p>
        </w:tc>
      </w:tr>
      <w:tr w:rsidR="0067463C" w:rsidRPr="00721238" w:rsidTr="009849B7">
        <w:trPr>
          <w:jc w:val="center"/>
        </w:trPr>
        <w:tc>
          <w:tcPr>
            <w:tcW w:w="1060" w:type="dxa"/>
            <w:vMerge/>
          </w:tcPr>
          <w:p w:rsidR="0067463C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gridSpan w:val="2"/>
          </w:tcPr>
          <w:p w:rsidR="0067463C" w:rsidRPr="00721238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р./кв. м</w:t>
            </w:r>
          </w:p>
        </w:tc>
        <w:tc>
          <w:tcPr>
            <w:tcW w:w="850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р./кв. м</w:t>
            </w:r>
          </w:p>
        </w:tc>
        <w:tc>
          <w:tcPr>
            <w:tcW w:w="850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bookmarkStart w:id="0" w:name="_GoBack"/>
            <w:bookmarkEnd w:id="0"/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р./кв. м</w:t>
            </w:r>
          </w:p>
        </w:tc>
        <w:tc>
          <w:tcPr>
            <w:tcW w:w="850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67463C" w:rsidRPr="00721238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38">
              <w:rPr>
                <w:rFonts w:ascii="Times New Roman" w:hAnsi="Times New Roman" w:cs="Times New Roman"/>
                <w:sz w:val="20"/>
                <w:szCs w:val="20"/>
              </w:rPr>
              <w:t>тыс. р./сотка</w:t>
            </w:r>
          </w:p>
        </w:tc>
      </w:tr>
      <w:tr w:rsidR="0067463C" w:rsidTr="009849B7">
        <w:trPr>
          <w:jc w:val="center"/>
        </w:trPr>
        <w:tc>
          <w:tcPr>
            <w:tcW w:w="1060" w:type="dxa"/>
            <w:vMerge/>
          </w:tcPr>
          <w:p w:rsidR="0067463C" w:rsidRDefault="0067463C" w:rsidP="00D6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463C" w:rsidRPr="00D632F3" w:rsidRDefault="0067463C" w:rsidP="00D6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Нов. М</w:t>
            </w:r>
            <w:r w:rsidRPr="00746588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</w:p>
        </w:tc>
        <w:tc>
          <w:tcPr>
            <w:tcW w:w="851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Нов. </w:t>
            </w:r>
            <w:r w:rsidRPr="00746588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915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6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850" w:type="dxa"/>
            <w:vMerge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463C" w:rsidRPr="007876D6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463C" w:rsidRPr="007876D6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463C" w:rsidRPr="007876D6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463C" w:rsidRPr="007876D6" w:rsidRDefault="0067463C" w:rsidP="00787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63C" w:rsidTr="009849B7">
        <w:trPr>
          <w:jc w:val="center"/>
        </w:trPr>
        <w:tc>
          <w:tcPr>
            <w:tcW w:w="1060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67463C" w:rsidRPr="0011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851" w:type="dxa"/>
          </w:tcPr>
          <w:p w:rsidR="0067463C" w:rsidRPr="0011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5" w:type="dxa"/>
          </w:tcPr>
          <w:p w:rsidR="0067463C" w:rsidRPr="00D632F3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3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851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3" w:type="dxa"/>
          </w:tcPr>
          <w:p w:rsidR="0067463C" w:rsidRPr="00A92166" w:rsidRDefault="0067463C" w:rsidP="00F61AB9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7463C" w:rsidRPr="00A92166" w:rsidRDefault="0067463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2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006C" w:rsidTr="009849B7">
        <w:trPr>
          <w:jc w:val="center"/>
        </w:trPr>
        <w:tc>
          <w:tcPr>
            <w:tcW w:w="1060" w:type="dxa"/>
          </w:tcPr>
          <w:p w:rsidR="00C0006C" w:rsidRPr="00D632F3" w:rsidRDefault="00C0006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C0006C" w:rsidRPr="00746588" w:rsidRDefault="00C0006C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7,498</w:t>
            </w:r>
          </w:p>
        </w:tc>
        <w:tc>
          <w:tcPr>
            <w:tcW w:w="851" w:type="dxa"/>
          </w:tcPr>
          <w:p w:rsidR="00C0006C" w:rsidRPr="00746588" w:rsidRDefault="00C0006C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6,709</w:t>
            </w:r>
          </w:p>
        </w:tc>
        <w:tc>
          <w:tcPr>
            <w:tcW w:w="992" w:type="dxa"/>
          </w:tcPr>
          <w:p w:rsidR="00C0006C" w:rsidRPr="00746588" w:rsidRDefault="00C0006C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915" w:type="dxa"/>
          </w:tcPr>
          <w:p w:rsidR="00C0006C" w:rsidRPr="00746588" w:rsidRDefault="00C0006C" w:rsidP="0049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0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35,060</w:t>
            </w:r>
          </w:p>
        </w:tc>
        <w:tc>
          <w:tcPr>
            <w:tcW w:w="851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</w:t>
            </w:r>
            <w:r w:rsidR="00FA4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14,290</w:t>
            </w:r>
          </w:p>
        </w:tc>
        <w:tc>
          <w:tcPr>
            <w:tcW w:w="993" w:type="dxa"/>
          </w:tcPr>
          <w:p w:rsidR="00C0006C" w:rsidRPr="00A92166" w:rsidRDefault="00E23B38" w:rsidP="00F61AB9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50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4,765</w:t>
            </w:r>
          </w:p>
        </w:tc>
        <w:tc>
          <w:tcPr>
            <w:tcW w:w="992" w:type="dxa"/>
          </w:tcPr>
          <w:p w:rsidR="00C0006C" w:rsidRPr="00A92166" w:rsidRDefault="00E23B38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</w:t>
            </w:r>
            <w:r w:rsidR="00FA4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06C" w:rsidTr="009849B7">
        <w:trPr>
          <w:jc w:val="center"/>
        </w:trPr>
        <w:tc>
          <w:tcPr>
            <w:tcW w:w="1060" w:type="dxa"/>
          </w:tcPr>
          <w:p w:rsidR="00C0006C" w:rsidRDefault="00C0006C" w:rsidP="00F61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месяц</w:t>
            </w:r>
          </w:p>
        </w:tc>
        <w:tc>
          <w:tcPr>
            <w:tcW w:w="1134" w:type="dxa"/>
            <w:vAlign w:val="center"/>
          </w:tcPr>
          <w:p w:rsidR="00C0006C" w:rsidRPr="00D632F3" w:rsidRDefault="009849B7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C0006C" w:rsidRPr="00D632F3" w:rsidRDefault="009849B7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0006C" w:rsidRPr="00D632F3" w:rsidRDefault="009849B7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5" w:type="dxa"/>
            <w:vAlign w:val="center"/>
          </w:tcPr>
          <w:p w:rsidR="00C0006C" w:rsidRPr="00D632F3" w:rsidRDefault="009849B7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+3,2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0006C" w:rsidRPr="00A92166" w:rsidRDefault="00FA46FA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C0006C" w:rsidRPr="00A92166" w:rsidRDefault="00FA46FA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0006C" w:rsidRPr="00A92166" w:rsidRDefault="00FA46FA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C0006C" w:rsidRPr="00A92166" w:rsidRDefault="00FA46FA" w:rsidP="0020480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+1,6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C0006C" w:rsidRPr="00A92166" w:rsidRDefault="00FA46FA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-1,2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0006C" w:rsidRPr="00A92166" w:rsidRDefault="00FA46FA" w:rsidP="0020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-3,1</w:t>
            </w:r>
            <w:r w:rsidR="00C000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876D6" w:rsidRDefault="007876D6" w:rsidP="007876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6D6" w:rsidRDefault="007876D6" w:rsidP="00595B4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948" w:rsidRDefault="009F2948" w:rsidP="00DA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МАР по аналитике и консалтингу </w:t>
      </w:r>
      <w:proofErr w:type="spellStart"/>
      <w:r w:rsidR="008C7EAF">
        <w:rPr>
          <w:rFonts w:ascii="Times New Roman" w:hAnsi="Times New Roman" w:cs="Times New Roman"/>
          <w:sz w:val="24"/>
          <w:szCs w:val="24"/>
        </w:rPr>
        <w:t>Стерник</w:t>
      </w:r>
      <w:proofErr w:type="spellEnd"/>
      <w:r w:rsidR="008C7EAF">
        <w:rPr>
          <w:rFonts w:ascii="Times New Roman" w:hAnsi="Times New Roman" w:cs="Times New Roman"/>
          <w:sz w:val="24"/>
          <w:szCs w:val="24"/>
        </w:rPr>
        <w:t xml:space="preserve"> Г.М., управляющий па</w:t>
      </w:r>
      <w:r>
        <w:rPr>
          <w:rFonts w:ascii="Times New Roman" w:hAnsi="Times New Roman" w:cs="Times New Roman"/>
          <w:sz w:val="24"/>
          <w:szCs w:val="24"/>
        </w:rPr>
        <w:t>ртнер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Консалтинг».</w:t>
      </w:r>
      <w:r w:rsidR="008C7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AF" w:rsidRDefault="009F2948" w:rsidP="00DA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комитета</w:t>
      </w:r>
      <w:r w:rsidRPr="00125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EAF" w:rsidRPr="00125FDD">
        <w:rPr>
          <w:rFonts w:ascii="Times New Roman" w:hAnsi="Times New Roman" w:cs="Times New Roman"/>
          <w:sz w:val="24"/>
          <w:szCs w:val="24"/>
        </w:rPr>
        <w:t>Карамаликов</w:t>
      </w:r>
      <w:proofErr w:type="spellEnd"/>
      <w:r w:rsidR="008C7EAF">
        <w:rPr>
          <w:rFonts w:ascii="Times New Roman" w:hAnsi="Times New Roman" w:cs="Times New Roman"/>
          <w:sz w:val="24"/>
          <w:szCs w:val="24"/>
        </w:rPr>
        <w:t xml:space="preserve"> Ю.И., </w:t>
      </w:r>
      <w:r w:rsidR="00E43015">
        <w:rPr>
          <w:rFonts w:ascii="Times New Roman" w:hAnsi="Times New Roman" w:cs="Times New Roman"/>
          <w:sz w:val="24"/>
          <w:szCs w:val="24"/>
        </w:rPr>
        <w:t>д</w:t>
      </w:r>
      <w:r w:rsidR="00E43015" w:rsidRPr="00125FDD">
        <w:rPr>
          <w:rFonts w:ascii="Times New Roman" w:hAnsi="Times New Roman" w:cs="Times New Roman"/>
          <w:sz w:val="24"/>
          <w:szCs w:val="24"/>
        </w:rPr>
        <w:t xml:space="preserve">иректор по </w:t>
      </w:r>
      <w:proofErr w:type="spellStart"/>
      <w:proofErr w:type="gramStart"/>
      <w:r w:rsidR="00E43015" w:rsidRPr="00125FDD">
        <w:rPr>
          <w:rFonts w:ascii="Times New Roman" w:hAnsi="Times New Roman" w:cs="Times New Roman"/>
          <w:sz w:val="24"/>
          <w:szCs w:val="24"/>
        </w:rPr>
        <w:t>бизнес-коммуникациям</w:t>
      </w:r>
      <w:proofErr w:type="spellEnd"/>
      <w:proofErr w:type="gramEnd"/>
      <w:r w:rsidR="00E43015" w:rsidRPr="00125FDD">
        <w:rPr>
          <w:rFonts w:ascii="Times New Roman" w:hAnsi="Times New Roman" w:cs="Times New Roman"/>
          <w:sz w:val="24"/>
          <w:szCs w:val="24"/>
        </w:rPr>
        <w:t xml:space="preserve"> </w:t>
      </w:r>
      <w:r w:rsidR="00E43015">
        <w:rPr>
          <w:rFonts w:ascii="Times New Roman" w:hAnsi="Times New Roman" w:cs="Times New Roman"/>
          <w:sz w:val="24"/>
          <w:szCs w:val="24"/>
        </w:rPr>
        <w:t>Группы</w:t>
      </w:r>
      <w:r w:rsidR="00E43015" w:rsidRPr="00125FDD">
        <w:rPr>
          <w:rFonts w:ascii="Times New Roman" w:hAnsi="Times New Roman" w:cs="Times New Roman"/>
          <w:sz w:val="24"/>
          <w:szCs w:val="24"/>
        </w:rPr>
        <w:t xml:space="preserve"> компаний "МИЭЛЬ"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015" w:rsidRDefault="00DA6695" w:rsidP="00DA6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E43015" w:rsidRDefault="00E43015" w:rsidP="00DA66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Головина М.Б., руководитель отдела маркетинга Корпорации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Баркли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29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015" w:rsidRDefault="00E43015" w:rsidP="00DA6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  <w:proofErr w:type="gramStart"/>
      <w:r w:rsidR="00641F5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9E48D8">
        <w:rPr>
          <w:rFonts w:ascii="Times New Roman" w:hAnsi="Times New Roman" w:cs="Times New Roman"/>
          <w:sz w:val="24"/>
          <w:szCs w:val="24"/>
        </w:rPr>
        <w:t xml:space="preserve">уководитель департамента проектного консалтинга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48D8">
        <w:rPr>
          <w:rFonts w:ascii="Times New Roman" w:hAnsi="Times New Roman" w:cs="Times New Roman"/>
          <w:sz w:val="24"/>
          <w:szCs w:val="24"/>
        </w:rPr>
        <w:t>БЕСТ-Новострой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F2948">
        <w:rPr>
          <w:rFonts w:ascii="Times New Roman" w:hAnsi="Times New Roman" w:cs="Times New Roman"/>
          <w:sz w:val="24"/>
          <w:szCs w:val="24"/>
        </w:rPr>
        <w:t>.</w:t>
      </w:r>
    </w:p>
    <w:p w:rsidR="00E43015" w:rsidRDefault="00050DA0" w:rsidP="00DA669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  <w:r w:rsidR="00E43015">
        <w:rPr>
          <w:rFonts w:ascii="Times New Roman" w:hAnsi="Times New Roman" w:cs="Times New Roman"/>
          <w:sz w:val="24"/>
          <w:szCs w:val="24"/>
        </w:rPr>
        <w:t>, у</w:t>
      </w:r>
      <w:r w:rsidR="00E43015" w:rsidRPr="003E1CF3">
        <w:rPr>
          <w:rFonts w:ascii="Times New Roman" w:hAnsi="Times New Roman" w:cs="Times New Roman"/>
          <w:sz w:val="24"/>
          <w:szCs w:val="24"/>
        </w:rPr>
        <w:t>правляющий директор департамента Управления активами</w:t>
      </w:r>
      <w:r w:rsidR="00E43015">
        <w:rPr>
          <w:rFonts w:ascii="Times New Roman" w:hAnsi="Times New Roman" w:cs="Times New Roman"/>
          <w:sz w:val="24"/>
          <w:szCs w:val="24"/>
        </w:rPr>
        <w:t xml:space="preserve"> </w:t>
      </w:r>
      <w:r w:rsidR="00E43015" w:rsidRPr="003E1CF3">
        <w:rPr>
          <w:rFonts w:ascii="Times New Roman" w:hAnsi="Times New Roman" w:cs="Times New Roman"/>
          <w:sz w:val="24"/>
          <w:szCs w:val="24"/>
        </w:rPr>
        <w:t xml:space="preserve">NAI </w:t>
      </w:r>
      <w:proofErr w:type="spellStart"/>
      <w:r w:rsidR="00E43015" w:rsidRPr="003E1CF3">
        <w:rPr>
          <w:rFonts w:ascii="Times New Roman" w:hAnsi="Times New Roman" w:cs="Times New Roman"/>
          <w:sz w:val="24"/>
          <w:szCs w:val="24"/>
        </w:rPr>
        <w:t>Becar</w:t>
      </w:r>
      <w:proofErr w:type="spellEnd"/>
      <w:r w:rsidR="009F2948">
        <w:rPr>
          <w:rFonts w:ascii="Times New Roman" w:hAnsi="Times New Roman" w:cs="Times New Roman"/>
          <w:sz w:val="24"/>
          <w:szCs w:val="24"/>
        </w:rPr>
        <w:t>.</w:t>
      </w:r>
    </w:p>
    <w:p w:rsidR="00DA6695" w:rsidRDefault="00DA6695" w:rsidP="00E430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43015" w:rsidRDefault="00E23CC8" w:rsidP="00E4301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10.12</w:t>
      </w:r>
      <w:r w:rsidR="00DA6695">
        <w:rPr>
          <w:rFonts w:ascii="Times New Roman" w:hAnsi="Times New Roman" w:cs="Times New Roman"/>
          <w:color w:val="000000"/>
          <w:sz w:val="24"/>
          <w:szCs w:val="24"/>
        </w:rPr>
        <w:t>.2015.</w:t>
      </w:r>
    </w:p>
    <w:sectPr w:rsidR="00E43015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76AD"/>
    <w:rsid w:val="00007ACC"/>
    <w:rsid w:val="00027F6C"/>
    <w:rsid w:val="00050DA0"/>
    <w:rsid w:val="0008670A"/>
    <w:rsid w:val="00107806"/>
    <w:rsid w:val="001132F3"/>
    <w:rsid w:val="00147F06"/>
    <w:rsid w:val="00191C6B"/>
    <w:rsid w:val="0020480E"/>
    <w:rsid w:val="002272EF"/>
    <w:rsid w:val="00237879"/>
    <w:rsid w:val="002813A1"/>
    <w:rsid w:val="002D1E69"/>
    <w:rsid w:val="002F1C21"/>
    <w:rsid w:val="003B3719"/>
    <w:rsid w:val="004354E3"/>
    <w:rsid w:val="00443263"/>
    <w:rsid w:val="004720E3"/>
    <w:rsid w:val="004A7E39"/>
    <w:rsid w:val="004C3D9B"/>
    <w:rsid w:val="00512D3E"/>
    <w:rsid w:val="00586FBF"/>
    <w:rsid w:val="00587394"/>
    <w:rsid w:val="005908CE"/>
    <w:rsid w:val="005929F3"/>
    <w:rsid w:val="00595B48"/>
    <w:rsid w:val="005C58D7"/>
    <w:rsid w:val="005E4996"/>
    <w:rsid w:val="005F226F"/>
    <w:rsid w:val="00641F57"/>
    <w:rsid w:val="0065206D"/>
    <w:rsid w:val="0067463C"/>
    <w:rsid w:val="00681A19"/>
    <w:rsid w:val="006B0B6B"/>
    <w:rsid w:val="006F6573"/>
    <w:rsid w:val="00721238"/>
    <w:rsid w:val="007246D5"/>
    <w:rsid w:val="00750F3D"/>
    <w:rsid w:val="00757669"/>
    <w:rsid w:val="007876D6"/>
    <w:rsid w:val="007B0CCF"/>
    <w:rsid w:val="008131CC"/>
    <w:rsid w:val="0081626B"/>
    <w:rsid w:val="0088223F"/>
    <w:rsid w:val="00897F5C"/>
    <w:rsid w:val="008C7EAF"/>
    <w:rsid w:val="009773CE"/>
    <w:rsid w:val="009849B7"/>
    <w:rsid w:val="009A6F91"/>
    <w:rsid w:val="009F2948"/>
    <w:rsid w:val="00A31740"/>
    <w:rsid w:val="00A547BB"/>
    <w:rsid w:val="00A734BA"/>
    <w:rsid w:val="00A91D57"/>
    <w:rsid w:val="00A934DA"/>
    <w:rsid w:val="00A9386A"/>
    <w:rsid w:val="00AA159A"/>
    <w:rsid w:val="00AB143A"/>
    <w:rsid w:val="00AB76AD"/>
    <w:rsid w:val="00AD3313"/>
    <w:rsid w:val="00AD51B3"/>
    <w:rsid w:val="00AF6A33"/>
    <w:rsid w:val="00B67EDE"/>
    <w:rsid w:val="00BD7BB9"/>
    <w:rsid w:val="00BE7405"/>
    <w:rsid w:val="00C0006C"/>
    <w:rsid w:val="00C23B9F"/>
    <w:rsid w:val="00C579BC"/>
    <w:rsid w:val="00CE058B"/>
    <w:rsid w:val="00D632F3"/>
    <w:rsid w:val="00D92330"/>
    <w:rsid w:val="00D96BA9"/>
    <w:rsid w:val="00DA6695"/>
    <w:rsid w:val="00DB695A"/>
    <w:rsid w:val="00E23B38"/>
    <w:rsid w:val="00E23CC8"/>
    <w:rsid w:val="00E43015"/>
    <w:rsid w:val="00E4587E"/>
    <w:rsid w:val="00ED08B4"/>
    <w:rsid w:val="00F2267E"/>
    <w:rsid w:val="00F254BA"/>
    <w:rsid w:val="00F4256F"/>
    <w:rsid w:val="00FA46FA"/>
    <w:rsid w:val="00FD34FA"/>
    <w:rsid w:val="00FD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48"/>
    <w:pPr>
      <w:ind w:left="720"/>
      <w:contextualSpacing/>
    </w:pPr>
  </w:style>
  <w:style w:type="table" w:styleId="a4">
    <w:name w:val="Table Grid"/>
    <w:basedOn w:val="a1"/>
    <w:uiPriority w:val="59"/>
    <w:rsid w:val="00595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2015-12-09T18:15:00Z</dcterms:created>
  <dcterms:modified xsi:type="dcterms:W3CDTF">2015-12-10T11:25:00Z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612385355</vt:i4>
  </property>
  <property fmtid="{D5CDD505-2E9C-101B-9397-08002B2CF9AE}" pid="3" name="_NewReviewCycle">
    <vt:lpwstr/>
  </property>
  <property fmtid="{D5CDD505-2E9C-101B-9397-08002B2CF9AE}" pid="4" name="_EmailSubject">
    <vt:lpwstr>консенсус-оценка</vt:lpwstr>
  </property>
  <property fmtid="{D5CDD505-2E9C-101B-9397-08002B2CF9AE}" pid="5" name="_AuthorEmail">
    <vt:lpwstr>oksana.vityazeva@miel.ru</vt:lpwstr>
  </property>
  <property fmtid="{D5CDD505-2E9C-101B-9397-08002B2CF9AE}" pid="6" name="_AuthorEmailDisplayName">
    <vt:lpwstr>Витязева Оксана Юрьевна</vt:lpwstr>
  </property>
  <property fmtid="{D5CDD505-2E9C-101B-9397-08002B2CF9AE}" pid="7" name="_ReviewingToolsShownOnce">
    <vt:lpwstr/>
  </property>
</Properties>
</file>