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81" w:rsidRPr="00F5664A" w:rsidRDefault="004F06CE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Общие тенденции на р</w:t>
      </w:r>
      <w:r w:rsidR="00E06B77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ынк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е</w:t>
      </w:r>
      <w:r w:rsidR="00CD5723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7C209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строящегося жилья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Санкт-Петербурга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. </w:t>
      </w:r>
    </w:p>
    <w:p w:rsidR="002F2DCE" w:rsidRPr="00F5664A" w:rsidRDefault="000A35A6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>
        <w:rPr>
          <w:rFonts w:ascii="Franklin Gothic Book" w:hAnsi="Franklin Gothic Book"/>
          <w:b/>
          <w:bCs/>
          <w:color w:val="333333"/>
          <w:sz w:val="28"/>
          <w:szCs w:val="28"/>
        </w:rPr>
        <w:t>Итоги</w:t>
      </w:r>
      <w:r w:rsidR="00750BB4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2014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CA4B81" w:rsidRPr="00F5664A" w:rsidRDefault="00CA4B81" w:rsidP="00F5664A">
      <w:pPr>
        <w:jc w:val="both"/>
        <w:rPr>
          <w:rFonts w:ascii="Franklin Gothic Book" w:hAnsi="Franklin Gothic Book"/>
        </w:rPr>
      </w:pPr>
    </w:p>
    <w:p w:rsidR="00907FCD" w:rsidRPr="00F5664A" w:rsidRDefault="00907FCD" w:rsidP="00F5664A">
      <w:pPr>
        <w:jc w:val="both"/>
        <w:rPr>
          <w:rFonts w:ascii="Franklin Gothic Book" w:hAnsi="Franklin Gothic Book"/>
        </w:rPr>
      </w:pPr>
      <w:r w:rsidRPr="00F5664A">
        <w:rPr>
          <w:rFonts w:ascii="Franklin Gothic Book" w:hAnsi="Franklin Gothic Book"/>
        </w:rPr>
        <w:t xml:space="preserve">(Мария </w:t>
      </w:r>
      <w:proofErr w:type="spellStart"/>
      <w:r w:rsidRPr="00F5664A">
        <w:rPr>
          <w:rFonts w:ascii="Franklin Gothic Book" w:hAnsi="Franklin Gothic Book"/>
        </w:rPr>
        <w:t>Бент</w:t>
      </w:r>
      <w:proofErr w:type="spellEnd"/>
      <w:r w:rsidRPr="00F5664A">
        <w:rPr>
          <w:rFonts w:ascii="Franklin Gothic Book" w:hAnsi="Franklin Gothic Book"/>
        </w:rPr>
        <w:t>, САРН, ГК "Бюллетень Недвижимости")</w:t>
      </w:r>
    </w:p>
    <w:p w:rsidR="002F2DCE" w:rsidRPr="00F5664A" w:rsidRDefault="002F2DCE" w:rsidP="00F5664A">
      <w:pPr>
        <w:jc w:val="both"/>
        <w:rPr>
          <w:rFonts w:ascii="Franklin Gothic Book" w:hAnsi="Franklin Gothic Book"/>
          <w:sz w:val="18"/>
          <w:szCs w:val="18"/>
        </w:rPr>
      </w:pPr>
      <w:r w:rsidRPr="00F5664A">
        <w:rPr>
          <w:rFonts w:ascii="Franklin Gothic Book" w:hAnsi="Franklin Gothic Book"/>
          <w:sz w:val="18"/>
          <w:szCs w:val="18"/>
        </w:rPr>
        <w:t>___________________________________________________________________</w:t>
      </w:r>
      <w:r w:rsidR="003B7C2F" w:rsidRPr="00F5664A">
        <w:rPr>
          <w:rFonts w:ascii="Franklin Gothic Book" w:hAnsi="Franklin Gothic Book"/>
          <w:sz w:val="18"/>
          <w:szCs w:val="18"/>
        </w:rPr>
        <w:t>_______________________</w:t>
      </w:r>
      <w:r w:rsidRPr="00F5664A">
        <w:rPr>
          <w:rFonts w:ascii="Franklin Gothic Book" w:hAnsi="Franklin Gothic Book"/>
          <w:sz w:val="18"/>
          <w:szCs w:val="18"/>
        </w:rPr>
        <w:t>_______</w:t>
      </w:r>
    </w:p>
    <w:p w:rsidR="000A35A6" w:rsidRPr="000A35A6" w:rsidRDefault="000A35A6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bookmarkStart w:id="0" w:name="OLE_LINK5"/>
      <w:r w:rsidRPr="000A35A6">
        <w:rPr>
          <w:rFonts w:ascii="Franklin Gothic Book" w:hAnsi="Franklin Gothic Book"/>
          <w:sz w:val="22"/>
          <w:szCs w:val="22"/>
        </w:rPr>
        <w:t>За минувший 2014 год изменение средней цены предложения на рынке строящегося жилья в рублевом эквиваленте составило 9,1%, это 8135,6 руб. с кв. м. Показатель средней цены предложения квартир в новостройках в декабре 2014 года составил 98 тыс. руб. за кв. м.</w:t>
      </w:r>
    </w:p>
    <w:p w:rsidR="00F5664A" w:rsidRPr="009872AF" w:rsidRDefault="00F5664A" w:rsidP="009872AF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664A" w:rsidRPr="00F5664A" w:rsidTr="00F5664A">
        <w:tc>
          <w:tcPr>
            <w:tcW w:w="5306" w:type="dxa"/>
          </w:tcPr>
          <w:p w:rsidR="00F5664A" w:rsidRPr="00F5664A" w:rsidRDefault="000A35A6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0A35A6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>
                  <wp:extent cx="2952000" cy="1900800"/>
                  <wp:effectExtent l="19050" t="0" r="19800" b="42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17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F5664A" w:rsidRPr="00F5664A" w:rsidRDefault="000A35A6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0A35A6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>
                  <wp:extent cx="2952000" cy="1900800"/>
                  <wp:effectExtent l="19050" t="0" r="19800" b="420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13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64A" w:rsidRPr="00F5664A" w:rsidTr="00F5664A">
        <w:tc>
          <w:tcPr>
            <w:tcW w:w="530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Динамика цен на рынке строящегося жилья, руб./кв. м</w:t>
            </w:r>
          </w:p>
        </w:tc>
        <w:tc>
          <w:tcPr>
            <w:tcW w:w="537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Изменение цены, % к предыдущему месяцу</w:t>
            </w:r>
          </w:p>
        </w:tc>
      </w:tr>
    </w:tbl>
    <w:p w:rsidR="00457E3A" w:rsidRPr="00F5664A" w:rsidRDefault="00457E3A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0A35A6" w:rsidRPr="000A35A6" w:rsidRDefault="000A35A6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0A35A6">
        <w:rPr>
          <w:rFonts w:ascii="Franklin Gothic Book" w:hAnsi="Franklin Gothic Book"/>
          <w:sz w:val="22"/>
          <w:szCs w:val="22"/>
        </w:rPr>
        <w:t>Доля объектов, цена квадратного метра которых меньше 60 тыс. руб., составляет в декабре 2014 года 3,9% от общего объема предложения квартир. Большую долю рынка занимают цены в диапазоне от 60 до 110 тыс. руб. за кв. м, это 69,4% от объема квартир, выставленных в декабре на продажу. Диапазон стоимости квадратного метра от 110 до 130 тыс. руб. – 13,7%. Доля дорогих объектов, цена которых превышает 130 тыс. руб. за кв. м, составляет 13,1% от всего предложения.</w:t>
      </w:r>
    </w:p>
    <w:p w:rsidR="00A203F6" w:rsidRPr="00A203F6" w:rsidRDefault="00A203F6" w:rsidP="00457E3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457E3A" w:rsidRDefault="000A35A6" w:rsidP="00457E3A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0A35A6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>
            <wp:extent cx="2952000" cy="1900800"/>
            <wp:effectExtent l="19050" t="0" r="19800" b="42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7E3A" w:rsidRPr="00457E3A" w:rsidRDefault="00457E3A" w:rsidP="00457E3A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</w:t>
      </w:r>
      <w:r w:rsidRPr="00457E3A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27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3A" w:rsidRPr="00457E3A" w:rsidRDefault="00B25660" w:rsidP="00457E3A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p w:rsidR="00855742" w:rsidRPr="00B25660" w:rsidRDefault="00855742" w:rsidP="00855742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</w:p>
    <w:p w:rsidR="00860E43" w:rsidRPr="00855742" w:rsidRDefault="00860E43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860E43" w:rsidRPr="00855742" w:rsidSect="00F566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660" w:rsidRPr="00860E43" w:rsidRDefault="00B25660" w:rsidP="00B25660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lastRenderedPageBreak/>
        <w:t>Распределение цены (тыс. руб./кв. м), % от общего объема предложения</w:t>
      </w:r>
    </w:p>
    <w:tbl>
      <w:tblPr>
        <w:tblW w:w="93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3094"/>
        <w:gridCol w:w="3565"/>
      </w:tblGrid>
      <w:tr w:rsidR="000A35A6" w:rsidRPr="00E00BD7" w:rsidTr="00855742">
        <w:trPr>
          <w:trHeight w:val="6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457E3A" w:rsidRDefault="000A35A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57E3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тыс. руб./кв. м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0A35A6" w:rsidRPr="000A35A6" w:rsidRDefault="000A35A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0A35A6" w:rsidRPr="000A35A6" w:rsidRDefault="000A35A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</w:tr>
      <w:tr w:rsidR="000A35A6" w:rsidRPr="00E00BD7" w:rsidTr="00855742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77333E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333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&lt;60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7.16%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3.90%</w:t>
            </w:r>
          </w:p>
        </w:tc>
      </w:tr>
      <w:tr w:rsidR="000A35A6" w:rsidRPr="00E00BD7" w:rsidTr="00855742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77333E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333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60-70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13.06%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8.68%</w:t>
            </w:r>
          </w:p>
        </w:tc>
      </w:tr>
      <w:tr w:rsidR="000A35A6" w:rsidRPr="00E00BD7" w:rsidTr="00855742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77333E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333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70-80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20.27%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14.96%</w:t>
            </w:r>
          </w:p>
        </w:tc>
      </w:tr>
      <w:tr w:rsidR="000A35A6" w:rsidRPr="00E00BD7" w:rsidTr="00855742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77333E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333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lastRenderedPageBreak/>
              <w:t>80-90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18.25%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18.15%</w:t>
            </w:r>
          </w:p>
        </w:tc>
      </w:tr>
      <w:tr w:rsidR="000A35A6" w:rsidRPr="00E00BD7" w:rsidTr="00860E43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77333E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333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90-100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11.81%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16.06%</w:t>
            </w:r>
          </w:p>
        </w:tc>
      </w:tr>
      <w:tr w:rsidR="000A35A6" w:rsidRPr="00E00BD7" w:rsidTr="00860E43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77333E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333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100-110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9.18%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11.51%</w:t>
            </w:r>
          </w:p>
        </w:tc>
      </w:tr>
      <w:tr w:rsidR="000A35A6" w:rsidRPr="00E00BD7" w:rsidTr="00860E43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77333E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333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110-120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5.75%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7.48%</w:t>
            </w:r>
          </w:p>
        </w:tc>
      </w:tr>
      <w:tr w:rsidR="000A35A6" w:rsidRPr="00E00BD7" w:rsidTr="00860E43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77333E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333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120-130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3.63%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6.19%</w:t>
            </w:r>
          </w:p>
        </w:tc>
      </w:tr>
      <w:tr w:rsidR="000A35A6" w:rsidRPr="00E00BD7" w:rsidTr="00860E43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77333E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7333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&gt;130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10.88%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13.07%</w:t>
            </w:r>
          </w:p>
        </w:tc>
      </w:tr>
    </w:tbl>
    <w:p w:rsidR="00B25660" w:rsidRDefault="00B25660" w:rsidP="00F5664A">
      <w:pPr>
        <w:pStyle w:val="a5"/>
        <w:spacing w:before="0" w:beforeAutospacing="0" w:after="0" w:afterAutospacing="0" w:line="263" w:lineRule="atLeast"/>
        <w:jc w:val="both"/>
        <w:textAlignment w:val="bottom"/>
        <w:rPr>
          <w:rFonts w:ascii="Franklin Gothic Book" w:hAnsi="Franklin Gothic Book" w:cs="Arial CYR"/>
          <w:color w:val="000000"/>
          <w:kern w:val="24"/>
          <w:sz w:val="20"/>
          <w:szCs w:val="20"/>
        </w:rPr>
        <w:sectPr w:rsidR="00B25660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C2F" w:rsidRPr="00F5664A" w:rsidRDefault="003B7C2F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3B7C2F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C2F" w:rsidRPr="00F5664A" w:rsidRDefault="003B7C2F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0A35A6" w:rsidRPr="000A35A6" w:rsidRDefault="000A35A6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0A35A6">
        <w:rPr>
          <w:rFonts w:ascii="Franklin Gothic Book" w:hAnsi="Franklin Gothic Book"/>
          <w:sz w:val="22"/>
          <w:szCs w:val="22"/>
        </w:rPr>
        <w:t xml:space="preserve">Объем предложения строительных объектов, в которых идут продажи квартир, </w:t>
      </w:r>
      <w:proofErr w:type="gramStart"/>
      <w:r w:rsidRPr="000A35A6">
        <w:rPr>
          <w:rFonts w:ascii="Franklin Gothic Book" w:hAnsi="Franklin Gothic Book"/>
          <w:sz w:val="22"/>
          <w:szCs w:val="22"/>
        </w:rPr>
        <w:t>на конец</w:t>
      </w:r>
      <w:proofErr w:type="gramEnd"/>
      <w:r w:rsidRPr="000A35A6">
        <w:rPr>
          <w:rFonts w:ascii="Franklin Gothic Book" w:hAnsi="Franklin Gothic Book"/>
          <w:sz w:val="22"/>
          <w:szCs w:val="22"/>
        </w:rPr>
        <w:t xml:space="preserve"> 2014 года составил 286 (с учетом очередей), что на 11,3% больше показателя в декабре 2013 года. Доля сданных госкомиссии домов во всем предложении на рынке новостроек на конец декабря 2014 года составляет 20,6%, частично сданных – 8,4%. И 71% от общего объема – это объекты, находящиеся на различных стадиях строительства.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i/>
          <w:sz w:val="24"/>
          <w:szCs w:val="24"/>
        </w:rPr>
      </w:pPr>
    </w:p>
    <w:p w:rsidR="003B7C2F" w:rsidRDefault="000A35A6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0A35A6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5940425" cy="1957661"/>
            <wp:effectExtent l="19050" t="0" r="22225" b="4489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11" name="Рисунок 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60" w:rsidRPr="000C5183" w:rsidRDefault="00B25660" w:rsidP="00B25660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стадии строительства, % от общего количества строительных объектов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0A35A6" w:rsidRPr="000A35A6" w:rsidRDefault="000A35A6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0A35A6">
        <w:rPr>
          <w:rFonts w:ascii="Franklin Gothic Book" w:hAnsi="Franklin Gothic Book"/>
          <w:sz w:val="22"/>
          <w:szCs w:val="22"/>
        </w:rPr>
        <w:t xml:space="preserve">С учетом стадий строительства новостроек и наличия корпусов структура предложения выглядит следующим образом: 29% занимают сданные и частично сданные дома, 8,4% – это объекты с заявленным сроком во втором полугодии 2014 года. В 2015-м обещают сдать 36,4% строящихся домов. На 2016 год приходится 18,9%, на 2017-2020-й – 7,3% от количества объектов, находящихся в продаже. </w:t>
      </w:r>
    </w:p>
    <w:p w:rsidR="009872AF" w:rsidRPr="00AF3D63" w:rsidRDefault="009872AF" w:rsidP="00AF3D6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3B7C2F" w:rsidRDefault="000A35A6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0A35A6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5940425" cy="1957661"/>
            <wp:effectExtent l="19050" t="0" r="22225" b="4489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29" name="Рисунок 10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42" w:rsidRPr="00747ED8" w:rsidRDefault="000C5183" w:rsidP="00747ED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proofErr w:type="spellStart"/>
      <w:proofErr w:type="gramStart"/>
      <w:r w:rsidR="00747ED8">
        <w:rPr>
          <w:rFonts w:ascii="Franklin Gothic Book" w:hAnsi="Franklin Gothic Book"/>
          <w:i/>
          <w:iCs/>
          <w:sz w:val="22"/>
          <w:szCs w:val="22"/>
        </w:rPr>
        <w:t>C</w:t>
      </w:r>
      <w:proofErr w:type="gramEnd"/>
      <w:r w:rsidR="00747ED8">
        <w:rPr>
          <w:rFonts w:ascii="Franklin Gothic Book" w:hAnsi="Franklin Gothic Book"/>
          <w:i/>
          <w:iCs/>
          <w:sz w:val="22"/>
          <w:szCs w:val="22"/>
        </w:rPr>
        <w:t>р</w:t>
      </w:r>
      <w:r w:rsidR="00B25660" w:rsidRPr="000C5183">
        <w:rPr>
          <w:rFonts w:ascii="Franklin Gothic Book" w:hAnsi="Franklin Gothic Book"/>
          <w:i/>
          <w:iCs/>
          <w:sz w:val="22"/>
          <w:szCs w:val="22"/>
        </w:rPr>
        <w:t>оки</w:t>
      </w:r>
      <w:proofErr w:type="spellEnd"/>
      <w:r w:rsidR="00B25660" w:rsidRPr="000C5183">
        <w:rPr>
          <w:rFonts w:ascii="Franklin Gothic Book" w:hAnsi="Franklin Gothic Book"/>
          <w:i/>
          <w:iCs/>
          <w:sz w:val="22"/>
          <w:szCs w:val="22"/>
        </w:rPr>
        <w:t xml:space="preserve"> окончания строительства, % от общего количества строительных объектов</w:t>
      </w:r>
    </w:p>
    <w:p w:rsidR="00AF3D63" w:rsidRDefault="00AF3D63" w:rsidP="0077333E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0A35A6" w:rsidRPr="000A35A6" w:rsidRDefault="000A35A6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0A35A6">
        <w:rPr>
          <w:rFonts w:ascii="Franklin Gothic Book" w:hAnsi="Franklin Gothic Book"/>
          <w:sz w:val="22"/>
          <w:szCs w:val="22"/>
        </w:rPr>
        <w:t xml:space="preserve">Структура предложения по классам жилья на первичном рынке за прошедший месяц практически не изменилась. Эконом-класс по-прежнему занимает большую часть предложения на рынке и составляет на декабрь 2014 года 50,5% от общего количества строительных </w:t>
      </w:r>
      <w:r w:rsidRPr="000A35A6">
        <w:rPr>
          <w:rFonts w:ascii="Franklin Gothic Book" w:hAnsi="Franklin Gothic Book"/>
          <w:sz w:val="22"/>
          <w:szCs w:val="22"/>
        </w:rPr>
        <w:lastRenderedPageBreak/>
        <w:t xml:space="preserve">объектов. Доля </w:t>
      </w:r>
      <w:proofErr w:type="spellStart"/>
      <w:proofErr w:type="gramStart"/>
      <w:r w:rsidRPr="000A35A6">
        <w:rPr>
          <w:rFonts w:ascii="Franklin Gothic Book" w:hAnsi="Franklin Gothic Book"/>
          <w:sz w:val="22"/>
          <w:szCs w:val="22"/>
        </w:rPr>
        <w:t>комфорт-класса</w:t>
      </w:r>
      <w:proofErr w:type="spellEnd"/>
      <w:proofErr w:type="gramEnd"/>
      <w:r w:rsidRPr="000A35A6">
        <w:rPr>
          <w:rFonts w:ascii="Franklin Gothic Book" w:hAnsi="Franklin Gothic Book"/>
          <w:sz w:val="22"/>
          <w:szCs w:val="22"/>
        </w:rPr>
        <w:t xml:space="preserve"> – на уровне 32,3%, строящиеся дома </w:t>
      </w:r>
      <w:proofErr w:type="spellStart"/>
      <w:r w:rsidRPr="000A35A6">
        <w:rPr>
          <w:rFonts w:ascii="Franklin Gothic Book" w:hAnsi="Franklin Gothic Book"/>
          <w:sz w:val="22"/>
          <w:szCs w:val="22"/>
        </w:rPr>
        <w:t>бизнес-класса</w:t>
      </w:r>
      <w:proofErr w:type="spellEnd"/>
      <w:r w:rsidRPr="000A35A6">
        <w:rPr>
          <w:rFonts w:ascii="Franklin Gothic Book" w:hAnsi="Franklin Gothic Book"/>
          <w:sz w:val="22"/>
          <w:szCs w:val="22"/>
        </w:rPr>
        <w:t xml:space="preserve"> – это 17,3% от всего рынка.</w:t>
      </w:r>
    </w:p>
    <w:p w:rsidR="00A203F6" w:rsidRPr="00A203F6" w:rsidRDefault="00A203F6" w:rsidP="00A203F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3B7C2F" w:rsidRDefault="000A35A6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0A35A6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5940425" cy="1957661"/>
            <wp:effectExtent l="19050" t="0" r="22225" b="4489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7ED8" w:rsidRPr="00F5664A" w:rsidRDefault="00747ED8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33" name="Рисунок 1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60" w:rsidRPr="000C5183" w:rsidRDefault="00B25660" w:rsidP="00B25660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классу жилья, % от общего количества строительных объектов</w:t>
      </w:r>
    </w:p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0A35A6" w:rsidRPr="000A35A6" w:rsidRDefault="000A35A6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0A35A6">
        <w:rPr>
          <w:rFonts w:ascii="Franklin Gothic Book" w:hAnsi="Franklin Gothic Book"/>
          <w:sz w:val="22"/>
          <w:szCs w:val="22"/>
        </w:rPr>
        <w:t>Средняя цена предложения с разделением по классу жилья на декабрь 2014 года составляет: эконом – 85,9 тыс. руб. за кв. м, комфорт – 110 тыс. руб. и бизнес – 167,7 тыс. руб. за кв. м жилья на рынке квартир в строящихся домах.</w:t>
      </w:r>
      <w:proofErr w:type="gramEnd"/>
      <w:r w:rsidRPr="000A35A6">
        <w:rPr>
          <w:rFonts w:ascii="Franklin Gothic Book" w:hAnsi="Franklin Gothic Book"/>
          <w:sz w:val="22"/>
          <w:szCs w:val="22"/>
        </w:rPr>
        <w:t xml:space="preserve"> Наибольший процент изменения цены предложения за год продемонстрировали квартиры в строящихся домах </w:t>
      </w:r>
      <w:proofErr w:type="spellStart"/>
      <w:proofErr w:type="gramStart"/>
      <w:r w:rsidRPr="000A35A6">
        <w:rPr>
          <w:rFonts w:ascii="Franklin Gothic Book" w:hAnsi="Franklin Gothic Book"/>
          <w:sz w:val="22"/>
          <w:szCs w:val="22"/>
        </w:rPr>
        <w:t>эконом-класса</w:t>
      </w:r>
      <w:proofErr w:type="spellEnd"/>
      <w:proofErr w:type="gramEnd"/>
      <w:r w:rsidRPr="000A35A6">
        <w:rPr>
          <w:rFonts w:ascii="Franklin Gothic Book" w:hAnsi="Franklin Gothic Book"/>
          <w:sz w:val="22"/>
          <w:szCs w:val="22"/>
        </w:rPr>
        <w:t>.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:rsidR="005C2E5E" w:rsidRPr="00F5664A" w:rsidRDefault="005C2E5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5C2E5E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ED8" w:rsidRDefault="000A35A6" w:rsidP="00747ED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0A35A6">
        <w:rPr>
          <w:rFonts w:ascii="Franklin Gothic Book" w:hAnsi="Franklin Gothic Book" w:cs="Times New Roman"/>
          <w:sz w:val="22"/>
          <w:szCs w:val="22"/>
        </w:rPr>
        <w:lastRenderedPageBreak/>
        <w:drawing>
          <wp:inline distT="0" distB="0" distL="0" distR="0">
            <wp:extent cx="2952000" cy="1900800"/>
            <wp:effectExtent l="19050" t="0" r="19800" b="420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7ED8" w:rsidRPr="00747ED8" w:rsidRDefault="00747ED8" w:rsidP="00747ED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35" name="Рисунок 1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60" w:rsidRPr="000C5183" w:rsidRDefault="00B25660" w:rsidP="00B25660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Цена по классу жилья, руб./кв. м</w:t>
      </w:r>
    </w:p>
    <w:p w:rsidR="00B25660" w:rsidRDefault="00B25660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6C651F" w:rsidRPr="000C5183" w:rsidRDefault="006C651F" w:rsidP="006C651F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классу жилья, руб./кв. м</w:t>
      </w:r>
    </w:p>
    <w:tbl>
      <w:tblPr>
        <w:tblW w:w="9264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2462"/>
        <w:gridCol w:w="2442"/>
        <w:gridCol w:w="2245"/>
      </w:tblGrid>
      <w:tr w:rsidR="000A35A6" w:rsidRPr="00E00BD7" w:rsidTr="00E11E4E">
        <w:trPr>
          <w:trHeight w:val="478"/>
          <w:jc w:val="center"/>
        </w:trPr>
        <w:tc>
          <w:tcPr>
            <w:tcW w:w="2115" w:type="dxa"/>
            <w:shd w:val="clear" w:color="auto" w:fill="B9CDE5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747ED8" w:rsidRDefault="000A35A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47ED8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Класс </w:t>
            </w:r>
          </w:p>
          <w:p w:rsidR="000A35A6" w:rsidRPr="00747ED8" w:rsidRDefault="000A35A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47ED8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жилья</w:t>
            </w:r>
          </w:p>
        </w:tc>
        <w:tc>
          <w:tcPr>
            <w:tcW w:w="2462" w:type="dxa"/>
            <w:shd w:val="clear" w:color="auto" w:fill="B9CDE5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декабрь</w:t>
            </w:r>
          </w:p>
          <w:p w:rsidR="000A35A6" w:rsidRPr="000A35A6" w:rsidRDefault="000A35A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2013 г.</w:t>
            </w:r>
          </w:p>
        </w:tc>
        <w:tc>
          <w:tcPr>
            <w:tcW w:w="2442" w:type="dxa"/>
            <w:shd w:val="clear" w:color="auto" w:fill="B9CDE5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0A35A6" w:rsidRPr="000A35A6" w:rsidRDefault="000A35A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2245" w:type="dxa"/>
            <w:shd w:val="clear" w:color="auto" w:fill="B9CDE5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год, %</w:t>
            </w:r>
          </w:p>
        </w:tc>
      </w:tr>
      <w:tr w:rsidR="000A35A6" w:rsidRPr="00E00BD7" w:rsidTr="00E11E4E">
        <w:trPr>
          <w:trHeight w:val="451"/>
          <w:jc w:val="center"/>
        </w:trPr>
        <w:tc>
          <w:tcPr>
            <w:tcW w:w="2115" w:type="dxa"/>
            <w:shd w:val="clear" w:color="auto" w:fill="DCE6F2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747ED8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47ED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бизнес</w:t>
            </w:r>
          </w:p>
        </w:tc>
        <w:tc>
          <w:tcPr>
            <w:tcW w:w="2462" w:type="dxa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171 851 </w:t>
            </w:r>
          </w:p>
        </w:tc>
        <w:tc>
          <w:tcPr>
            <w:tcW w:w="2442" w:type="dxa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167 710</w:t>
            </w:r>
          </w:p>
        </w:tc>
        <w:tc>
          <w:tcPr>
            <w:tcW w:w="2245" w:type="dxa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-2.41%</w:t>
            </w:r>
          </w:p>
        </w:tc>
      </w:tr>
      <w:tr w:rsidR="000A35A6" w:rsidRPr="00E00BD7" w:rsidTr="00E11E4E">
        <w:trPr>
          <w:trHeight w:val="451"/>
          <w:jc w:val="center"/>
        </w:trPr>
        <w:tc>
          <w:tcPr>
            <w:tcW w:w="2115" w:type="dxa"/>
            <w:shd w:val="clear" w:color="auto" w:fill="DCE6F2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747ED8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47ED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комфорт</w:t>
            </w:r>
          </w:p>
        </w:tc>
        <w:tc>
          <w:tcPr>
            <w:tcW w:w="2462" w:type="dxa"/>
            <w:shd w:val="clear" w:color="auto" w:fill="DCE6F2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113 362</w:t>
            </w:r>
          </w:p>
        </w:tc>
        <w:tc>
          <w:tcPr>
            <w:tcW w:w="2442" w:type="dxa"/>
            <w:shd w:val="clear" w:color="auto" w:fill="DCE6F2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109 979</w:t>
            </w:r>
          </w:p>
        </w:tc>
        <w:tc>
          <w:tcPr>
            <w:tcW w:w="2245" w:type="dxa"/>
            <w:shd w:val="clear" w:color="auto" w:fill="DCE6F2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-2.98%</w:t>
            </w:r>
          </w:p>
        </w:tc>
      </w:tr>
      <w:tr w:rsidR="000A35A6" w:rsidRPr="00E00BD7" w:rsidTr="00E11E4E">
        <w:trPr>
          <w:trHeight w:val="451"/>
          <w:jc w:val="center"/>
        </w:trPr>
        <w:tc>
          <w:tcPr>
            <w:tcW w:w="2115" w:type="dxa"/>
            <w:shd w:val="clear" w:color="auto" w:fill="DCE6F2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747ED8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47ED8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эконом</w:t>
            </w:r>
          </w:p>
        </w:tc>
        <w:tc>
          <w:tcPr>
            <w:tcW w:w="2462" w:type="dxa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78 469</w:t>
            </w:r>
          </w:p>
        </w:tc>
        <w:tc>
          <w:tcPr>
            <w:tcW w:w="2442" w:type="dxa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85 921</w:t>
            </w:r>
          </w:p>
        </w:tc>
        <w:tc>
          <w:tcPr>
            <w:tcW w:w="2245" w:type="dxa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:rsidR="000A35A6" w:rsidRPr="000A35A6" w:rsidRDefault="000A35A6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A35A6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9.50%</w:t>
            </w:r>
          </w:p>
        </w:tc>
      </w:tr>
    </w:tbl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E4029E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0A35A6" w:rsidRPr="000A35A6" w:rsidRDefault="000A35A6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0A35A6">
        <w:rPr>
          <w:rFonts w:ascii="Franklin Gothic Book" w:hAnsi="Franklin Gothic Book"/>
          <w:sz w:val="22"/>
          <w:szCs w:val="22"/>
        </w:rPr>
        <w:t>В структуре текущего предложения на рынке новостроек в декабре 2014 года, как и в конце 2013 года, преобладают студии, одно- и двухкомнатные квартиры, что занимает 75,3% рынка, трехкомнатные – в среднем 21,1%. Многокомнатные (четыре комнаты и более) составляют 3,7% от общего объема квартир в строящихся домах.</w:t>
      </w:r>
    </w:p>
    <w:p w:rsidR="000A35A6" w:rsidRPr="000A35A6" w:rsidRDefault="000A35A6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0A35A6">
        <w:rPr>
          <w:rFonts w:ascii="Franklin Gothic Book" w:hAnsi="Franklin Gothic Book"/>
          <w:sz w:val="22"/>
          <w:szCs w:val="22"/>
        </w:rPr>
        <w:t xml:space="preserve">В предложении с разбивкой по типу домов по-прежнему преобладают кирпично-монолитные дома, это 65,4% от всего рынка. Меньшая доля предложения в малоэтажных объектах – 2,3% от общего объема новостроек. Доля домов смешанного типа – это, как правило, дома с корпусами, построенными по различным технологиям (кирпично-монолитной и панельной), – составляет 5,1%. </w:t>
      </w:r>
    </w:p>
    <w:p w:rsidR="009872AF" w:rsidRPr="009872AF" w:rsidRDefault="009872AF" w:rsidP="009872AF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9872AF">
        <w:rPr>
          <w:rFonts w:ascii="Franklin Gothic Book" w:hAnsi="Franklin Gothic Book"/>
          <w:sz w:val="22"/>
          <w:szCs w:val="22"/>
        </w:rPr>
        <w:lastRenderedPageBreak/>
        <w:t xml:space="preserve"> </w:t>
      </w:r>
    </w:p>
    <w:p w:rsidR="0059123A" w:rsidRDefault="000A35A6" w:rsidP="004B6AE5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0A35A6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>
            <wp:extent cx="2952328" cy="1656184"/>
            <wp:effectExtent l="19050" t="0" r="19472" b="1166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     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37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C3084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по типу дома, % от общего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о</w:t>
      </w:r>
      <w:r w:rsidRPr="000C5183">
        <w:rPr>
          <w:rFonts w:ascii="Franklin Gothic Book" w:hAnsi="Franklin Gothic Book"/>
          <w:i/>
          <w:iCs/>
          <w:sz w:val="22"/>
          <w:szCs w:val="22"/>
        </w:rPr>
        <w:t>бъема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4"/>
          <w:szCs w:val="24"/>
        </w:rPr>
      </w:pPr>
    </w:p>
    <w:p w:rsidR="00285542" w:rsidRDefault="000A35A6" w:rsidP="00FC3084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0A35A6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>
            <wp:extent cx="2952750" cy="1728000"/>
            <wp:effectExtent l="19050" t="0" r="19050" b="555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>
            <wp:extent cx="1223962" cy="185738"/>
            <wp:effectExtent l="19050" t="0" r="0" b="0"/>
            <wp:docPr id="39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C3084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>типу квартиры, % от общего объема</w:t>
      </w:r>
      <w:r w:rsidR="009957E7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предложения</w:t>
      </w:r>
    </w:p>
    <w:p w:rsidR="00E4029E" w:rsidRPr="00FC3084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0A35A6" w:rsidRPr="000A35A6" w:rsidRDefault="000A35A6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0A35A6">
        <w:rPr>
          <w:rFonts w:ascii="Franklin Gothic Book" w:hAnsi="Franklin Gothic Book"/>
          <w:sz w:val="22"/>
          <w:szCs w:val="22"/>
        </w:rPr>
        <w:t xml:space="preserve">В структуре предложения по районам </w:t>
      </w:r>
      <w:proofErr w:type="gramStart"/>
      <w:r w:rsidRPr="000A35A6">
        <w:rPr>
          <w:rFonts w:ascii="Franklin Gothic Book" w:hAnsi="Franklin Gothic Book"/>
          <w:sz w:val="22"/>
          <w:szCs w:val="22"/>
        </w:rPr>
        <w:t>на конец</w:t>
      </w:r>
      <w:proofErr w:type="gramEnd"/>
      <w:r w:rsidRPr="000A35A6">
        <w:rPr>
          <w:rFonts w:ascii="Franklin Gothic Book" w:hAnsi="Franklin Gothic Book"/>
          <w:sz w:val="22"/>
          <w:szCs w:val="22"/>
        </w:rPr>
        <w:t xml:space="preserve"> 2014 года лидирующую позицию занимает Приморский район Петербурга – 18,2% от всего объема рынка новостроек. </w:t>
      </w:r>
      <w:proofErr w:type="gramStart"/>
      <w:r w:rsidRPr="000A35A6">
        <w:rPr>
          <w:rFonts w:ascii="Franklin Gothic Book" w:hAnsi="Franklin Gothic Book"/>
          <w:sz w:val="22"/>
          <w:szCs w:val="22"/>
        </w:rPr>
        <w:t>Далее на рынке квартир в строящихся домах большие доли занимают Выборгский и Московский районы, предложение распределяется по 11,8% на каждый из них.</w:t>
      </w:r>
      <w:proofErr w:type="gramEnd"/>
      <w:r w:rsidRPr="000A35A6">
        <w:rPr>
          <w:rFonts w:ascii="Franklin Gothic Book" w:hAnsi="Franklin Gothic Book"/>
          <w:sz w:val="22"/>
          <w:szCs w:val="22"/>
        </w:rPr>
        <w:t xml:space="preserve"> Минимальное количество строительных объектов наблюдается во Фрунзенском районе – 1,8% от всего объема рынка новостроек, а также в Адмиралтейском и Центральном, их доля в предложении составляет по 4,1%. </w:t>
      </w:r>
    </w:p>
    <w:p w:rsidR="00AF3D63" w:rsidRPr="00AF3D63" w:rsidRDefault="00AF3D63" w:rsidP="00AF3D63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4B6AE5" w:rsidRPr="004B6AE5" w:rsidRDefault="004B6AE5" w:rsidP="004B6AE5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E4029E" w:rsidRDefault="000A35A6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0A35A6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5940425" cy="2147112"/>
            <wp:effectExtent l="19050" t="0" r="22225" b="5538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6AE5" w:rsidRPr="00F5664A" w:rsidRDefault="004B6AE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B6AE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41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B4" w:rsidRPr="00017DF1" w:rsidRDefault="00FC3084" w:rsidP="00017DF1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</w:p>
    <w:p w:rsidR="000A35A6" w:rsidRDefault="000A35A6" w:rsidP="00017DF1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0A35A6" w:rsidRPr="000A35A6" w:rsidRDefault="000A35A6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0A35A6">
        <w:rPr>
          <w:rFonts w:ascii="Franklin Gothic Book" w:hAnsi="Franklin Gothic Book"/>
          <w:sz w:val="22"/>
          <w:szCs w:val="22"/>
        </w:rPr>
        <w:t xml:space="preserve">Структура предложения на рынке строящегося жилья по диапазону площадей в декабре 2014 года выглядит следующим образом. Максимальное количество предложений однокомнатных квартир, выставленных на продажу, зафиксировано в диапазоне от 35 до 40 кв. </w:t>
      </w:r>
      <w:r w:rsidRPr="000A35A6">
        <w:rPr>
          <w:rFonts w:ascii="Franklin Gothic Book" w:hAnsi="Franklin Gothic Book"/>
          <w:sz w:val="22"/>
          <w:szCs w:val="22"/>
        </w:rPr>
        <w:lastRenderedPageBreak/>
        <w:t xml:space="preserve">м и от 40 до 45 кв. м общей площади, что занимает 27,8% и 22,3% от всего объема по указанному типу квартир. В сегменте двухкомнатных квартир максимальное предложение объектов приходится на диапазоны от 50 до 60 кв. м и от 60 до 70 кв. м, что занимает 37,7% и 29,4% от всего объема. По </w:t>
      </w:r>
      <w:proofErr w:type="gramStart"/>
      <w:r w:rsidRPr="000A35A6">
        <w:rPr>
          <w:rFonts w:ascii="Franklin Gothic Book" w:hAnsi="Franklin Gothic Book"/>
          <w:sz w:val="22"/>
          <w:szCs w:val="22"/>
        </w:rPr>
        <w:t>трехкомнатным</w:t>
      </w:r>
      <w:proofErr w:type="gramEnd"/>
      <w:r w:rsidRPr="000A35A6">
        <w:rPr>
          <w:rFonts w:ascii="Franklin Gothic Book" w:hAnsi="Franklin Gothic Book"/>
          <w:sz w:val="22"/>
          <w:szCs w:val="22"/>
        </w:rPr>
        <w:t xml:space="preserve"> максимальное число предложений объектов находится в диапазоне общей площади от 75 до 85 кв. м, что составляет 31,4% от всего объема по данному типу квартир. </w:t>
      </w:r>
    </w:p>
    <w:p w:rsidR="00934FB4" w:rsidRPr="00934FB4" w:rsidRDefault="00934FB4" w:rsidP="00934FB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0C5183" w:rsidRPr="000C5183" w:rsidRDefault="000C5183" w:rsidP="009957E7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3084" w:rsidTr="00EC376A">
        <w:tc>
          <w:tcPr>
            <w:tcW w:w="4771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871663" cy="215444"/>
                  <wp:effectExtent l="0" t="0" r="0" b="0"/>
                  <wp:docPr id="42" name="Объект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350" y="3274808"/>
                            <a:chExt cx="1871663" cy="215444"/>
                          </a:xfrm>
                        </a:grpSpPr>
                        <a:sp>
                          <a:nvSpPr>
                            <a:cNvPr id="15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350" y="3274808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Однокомнатные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0A35A6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0A35A6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>
                  <wp:extent cx="2952000" cy="1728000"/>
                  <wp:effectExtent l="19050" t="0" r="19800" b="5550"/>
                  <wp:docPr id="14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  <w:r w:rsidR="00EC376A">
              <w:rPr>
                <w:rFonts w:ascii="Franklin Gothic Book" w:hAnsi="Franklin Gothic Book"/>
                <w:sz w:val="28"/>
                <w:szCs w:val="28"/>
              </w:rPr>
              <w:t xml:space="preserve">        </w:t>
            </w:r>
            <w:r w:rsidR="00EC376A"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44" name="Рисунок 2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FC3084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873250" cy="215444"/>
                  <wp:effectExtent l="0" t="0" r="0" b="0"/>
                  <wp:docPr id="45" name="Объект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3250" cy="215444"/>
                            <a:chOff x="3645024" y="3274808"/>
                            <a:chExt cx="1873250" cy="215444"/>
                          </a:xfrm>
                        </a:grpSpPr>
                        <a:sp>
                          <a:nvSpPr>
                            <a:cNvPr id="16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5024" y="3274808"/>
                              <a:ext cx="187325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Двухкомнатные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0A35A6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0A35A6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>
                  <wp:extent cx="2952000" cy="1728000"/>
                  <wp:effectExtent l="19050" t="0" r="19800" b="5550"/>
                  <wp:docPr id="15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EC376A" w:rsidRDefault="00EC376A" w:rsidP="00EC376A">
            <w:pPr>
              <w:pStyle w:val="Tabledate"/>
              <w:jc w:val="left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49" name="Рисунок 2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76A" w:rsidTr="00EC376A">
        <w:tc>
          <w:tcPr>
            <w:tcW w:w="4771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871663" cy="215444"/>
                  <wp:effectExtent l="0" t="0" r="0" b="0"/>
                  <wp:docPr id="50" name="Объект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648" y="5507974"/>
                            <a:chExt cx="1871663" cy="215444"/>
                          </a:xfrm>
                        </a:grpSpPr>
                        <a:sp>
                          <a:nvSpPr>
                            <a:cNvPr id="17" name="Прямоугольник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648" y="5507974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Трехкомнатные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0A35A6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0A35A6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>
                  <wp:extent cx="2952000" cy="1728000"/>
                  <wp:effectExtent l="19050" t="0" r="19800" b="5550"/>
                  <wp:docPr id="16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EC376A" w:rsidRP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52" name="Рисунок 29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2016000" cy="215444"/>
                  <wp:effectExtent l="0" t="0" r="0" b="0"/>
                  <wp:docPr id="53" name="Объект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16000" cy="215444"/>
                            <a:chOff x="3644900" y="5507974"/>
                            <a:chExt cx="2016000" cy="215444"/>
                          </a:xfrm>
                        </a:grpSpPr>
                        <a:sp>
                          <a:nvSpPr>
                            <a:cNvPr id="18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4900" y="5507974"/>
                              <a:ext cx="201600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Многокомнатные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0A35A6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0A35A6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>
                  <wp:extent cx="2952000" cy="1728000"/>
                  <wp:effectExtent l="19050" t="0" r="19800" b="5550"/>
                  <wp:docPr id="18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EC376A" w:rsidRP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55" name="Рисунок 32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84" w:rsidTr="00E00BD7">
        <w:tc>
          <w:tcPr>
            <w:tcW w:w="9571" w:type="dxa"/>
            <w:gridSpan w:val="2"/>
          </w:tcPr>
          <w:p w:rsidR="00FC3084" w:rsidRPr="000C5183" w:rsidRDefault="00FC3084" w:rsidP="00FC3084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0C5183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Структура по диапазону площади, % от общего объема </w:t>
            </w:r>
          </w:p>
        </w:tc>
      </w:tr>
    </w:tbl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0A35A6" w:rsidRPr="000A35A6" w:rsidRDefault="000A35A6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0A35A6">
        <w:rPr>
          <w:rFonts w:ascii="Franklin Gothic Book" w:hAnsi="Franklin Gothic Book"/>
          <w:sz w:val="22"/>
          <w:szCs w:val="22"/>
        </w:rPr>
        <w:t xml:space="preserve">В среднем по рынку строящегося жилья за прошедший 2014 год процент изменения цены предложения на однокомнатные квартиры составил 8,6%, на двухкомнатные – 8%. Трехкомнатные подорожали на 11,3%. Средние цены в декабре 2014 года для однокомнатных квартир – 3,7 </w:t>
      </w:r>
      <w:proofErr w:type="spellStart"/>
      <w:proofErr w:type="gramStart"/>
      <w:r w:rsidRPr="000A35A6">
        <w:rPr>
          <w:rFonts w:ascii="Franklin Gothic Book" w:hAnsi="Franklin Gothic Book"/>
          <w:sz w:val="22"/>
          <w:szCs w:val="22"/>
        </w:rPr>
        <w:t>млн</w:t>
      </w:r>
      <w:proofErr w:type="spellEnd"/>
      <w:proofErr w:type="gramEnd"/>
      <w:r w:rsidRPr="000A35A6">
        <w:rPr>
          <w:rFonts w:ascii="Franklin Gothic Book" w:hAnsi="Franklin Gothic Book"/>
          <w:sz w:val="22"/>
          <w:szCs w:val="22"/>
        </w:rPr>
        <w:t xml:space="preserve"> руб., двухкомнатных – 5,9 </w:t>
      </w:r>
      <w:proofErr w:type="spellStart"/>
      <w:r w:rsidRPr="000A35A6">
        <w:rPr>
          <w:rFonts w:ascii="Franklin Gothic Book" w:hAnsi="Franklin Gothic Book"/>
          <w:sz w:val="22"/>
          <w:szCs w:val="22"/>
        </w:rPr>
        <w:t>млн</w:t>
      </w:r>
      <w:proofErr w:type="spellEnd"/>
      <w:r w:rsidRPr="000A35A6">
        <w:rPr>
          <w:rFonts w:ascii="Franklin Gothic Book" w:hAnsi="Franklin Gothic Book"/>
          <w:sz w:val="22"/>
          <w:szCs w:val="22"/>
        </w:rPr>
        <w:t xml:space="preserve"> руб., трехкомнатных – 9 </w:t>
      </w:r>
      <w:proofErr w:type="spellStart"/>
      <w:r w:rsidRPr="000A35A6">
        <w:rPr>
          <w:rFonts w:ascii="Franklin Gothic Book" w:hAnsi="Franklin Gothic Book"/>
          <w:sz w:val="22"/>
          <w:szCs w:val="22"/>
        </w:rPr>
        <w:t>млн</w:t>
      </w:r>
      <w:proofErr w:type="spellEnd"/>
      <w:r w:rsidRPr="000A35A6">
        <w:rPr>
          <w:rFonts w:ascii="Franklin Gothic Book" w:hAnsi="Franklin Gothic Book"/>
          <w:sz w:val="22"/>
          <w:szCs w:val="22"/>
        </w:rPr>
        <w:t xml:space="preserve"> руб.</w:t>
      </w:r>
    </w:p>
    <w:p w:rsidR="00934FB4" w:rsidRDefault="00934FB4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0A35A6" w:rsidRPr="00934FB4" w:rsidRDefault="000A35A6" w:rsidP="000A35A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  <w:sectPr w:rsidR="000A35A6" w:rsidRPr="00934FB4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76A" w:rsidRDefault="00F921FA" w:rsidP="00EC376A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F921FA">
        <w:rPr>
          <w:rFonts w:ascii="Franklin Gothic Book" w:hAnsi="Franklin Gothic Book" w:cs="Times New Roman"/>
          <w:sz w:val="22"/>
          <w:szCs w:val="22"/>
        </w:rPr>
        <w:lastRenderedPageBreak/>
        <w:drawing>
          <wp:inline distT="0" distB="0" distL="0" distR="0">
            <wp:extent cx="2952000" cy="1728000"/>
            <wp:effectExtent l="19050" t="0" r="19800" b="555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C376A" w:rsidRPr="00F5664A" w:rsidRDefault="00EC376A" w:rsidP="00EC376A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57" name="Рисунок 3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84" w:rsidRDefault="00FC3084" w:rsidP="00FC3084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квартиры, руб./кв. м</w:t>
      </w:r>
    </w:p>
    <w:p w:rsidR="00904B2D" w:rsidRDefault="00904B2D" w:rsidP="00904B2D">
      <w:pPr>
        <w:pStyle w:val="Tabledate"/>
        <w:ind w:left="36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904B2D" w:rsidRDefault="00904B2D" w:rsidP="00904B2D">
      <w:pPr>
        <w:pStyle w:val="Tabledate"/>
        <w:ind w:left="36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904B2D" w:rsidRDefault="00904B2D" w:rsidP="00904B2D">
      <w:pPr>
        <w:pStyle w:val="Tabledate"/>
        <w:ind w:left="36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904B2D" w:rsidRPr="000C5183" w:rsidRDefault="00904B2D" w:rsidP="00904B2D">
      <w:pPr>
        <w:pStyle w:val="Tabledate"/>
        <w:ind w:left="36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6C651F" w:rsidRPr="000C5183" w:rsidRDefault="006C651F" w:rsidP="006C651F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квартиры, руб./кв. м</w:t>
      </w:r>
    </w:p>
    <w:tbl>
      <w:tblPr>
        <w:tblW w:w="93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8"/>
        <w:gridCol w:w="1418"/>
        <w:gridCol w:w="1716"/>
        <w:gridCol w:w="1019"/>
        <w:gridCol w:w="3360"/>
      </w:tblGrid>
      <w:tr w:rsidR="00F921FA" w:rsidRPr="009957E7" w:rsidTr="009957E7">
        <w:trPr>
          <w:trHeight w:val="453"/>
        </w:trPr>
        <w:tc>
          <w:tcPr>
            <w:tcW w:w="18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4B2969" w:rsidRDefault="00F921FA" w:rsidP="000735E6">
            <w:pPr>
              <w:pStyle w:val="Tabledate"/>
              <w:rPr>
                <w:rFonts w:ascii="Franklin Gothic Book" w:hAnsi="Franklin Gothic Book" w:cs="Arial"/>
                <w:i/>
                <w:iCs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Тип квартиры</w:t>
            </w:r>
          </w:p>
        </w:tc>
        <w:tc>
          <w:tcPr>
            <w:tcW w:w="14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4B2969" w:rsidRDefault="00F921FA" w:rsidP="000735E6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Цена</w:t>
            </w:r>
          </w:p>
        </w:tc>
        <w:tc>
          <w:tcPr>
            <w:tcW w:w="171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10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336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</w:t>
            </w:r>
          </w:p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за год</w:t>
            </w:r>
          </w:p>
        </w:tc>
      </w:tr>
      <w:tr w:rsidR="00F921FA" w:rsidRPr="00D76AB2" w:rsidTr="009957E7">
        <w:trPr>
          <w:trHeight w:val="306"/>
        </w:trPr>
        <w:tc>
          <w:tcPr>
            <w:tcW w:w="1858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21FA" w:rsidRPr="000C5183" w:rsidRDefault="00F921FA" w:rsidP="000C5183">
            <w:pPr>
              <w:spacing w:after="0" w:line="306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0C5183" w:rsidRDefault="00F921FA" w:rsidP="00D76AB2">
            <w:pPr>
              <w:pStyle w:val="a5"/>
              <w:spacing w:before="0" w:beforeAutospacing="0" w:after="0" w:afterAutospacing="0" w:line="308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3 472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3 679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F921FA" w:rsidRPr="00D76AB2" w:rsidTr="009957E7">
        <w:trPr>
          <w:trHeight w:val="460"/>
        </w:trPr>
        <w:tc>
          <w:tcPr>
            <w:tcW w:w="1858" w:type="dxa"/>
            <w:vMerge/>
            <w:vAlign w:val="center"/>
            <w:hideMark/>
          </w:tcPr>
          <w:p w:rsidR="00F921FA" w:rsidRPr="000C5183" w:rsidRDefault="00F921FA" w:rsidP="000C518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0C5183" w:rsidRDefault="00F921FA" w:rsidP="00D76AB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71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89 307</w:t>
            </w:r>
          </w:p>
        </w:tc>
        <w:tc>
          <w:tcPr>
            <w:tcW w:w="10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97 007</w:t>
            </w:r>
          </w:p>
        </w:tc>
        <w:tc>
          <w:tcPr>
            <w:tcW w:w="336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8.62%</w:t>
            </w:r>
          </w:p>
        </w:tc>
      </w:tr>
      <w:tr w:rsidR="00F921FA" w:rsidRPr="00D76AB2" w:rsidTr="009957E7">
        <w:trPr>
          <w:trHeight w:val="300"/>
        </w:trPr>
        <w:tc>
          <w:tcPr>
            <w:tcW w:w="1858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21FA" w:rsidRPr="000C5183" w:rsidRDefault="00F921FA" w:rsidP="000C5183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0C5183" w:rsidRDefault="00F921FA" w:rsidP="00D76AB2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5 759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5 935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F921FA" w:rsidRPr="00D76AB2" w:rsidTr="009957E7">
        <w:trPr>
          <w:trHeight w:val="488"/>
        </w:trPr>
        <w:tc>
          <w:tcPr>
            <w:tcW w:w="1858" w:type="dxa"/>
            <w:vMerge/>
            <w:vAlign w:val="center"/>
            <w:hideMark/>
          </w:tcPr>
          <w:p w:rsidR="00F921FA" w:rsidRPr="000C5183" w:rsidRDefault="00F921FA" w:rsidP="000C518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0C5183" w:rsidRDefault="00F921FA" w:rsidP="00D76AB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71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88 693</w:t>
            </w:r>
          </w:p>
        </w:tc>
        <w:tc>
          <w:tcPr>
            <w:tcW w:w="10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95 823</w:t>
            </w:r>
          </w:p>
        </w:tc>
        <w:tc>
          <w:tcPr>
            <w:tcW w:w="336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8.04%</w:t>
            </w:r>
          </w:p>
        </w:tc>
      </w:tr>
      <w:tr w:rsidR="00F921FA" w:rsidRPr="00D76AB2" w:rsidTr="009957E7">
        <w:trPr>
          <w:trHeight w:val="300"/>
        </w:trPr>
        <w:tc>
          <w:tcPr>
            <w:tcW w:w="1858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21FA" w:rsidRPr="000C5183" w:rsidRDefault="00F921FA" w:rsidP="000C5183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0C5183" w:rsidRDefault="00F921FA" w:rsidP="00D76AB2">
            <w:pPr>
              <w:pStyle w:val="a5"/>
              <w:spacing w:before="0" w:beforeAutospacing="0" w:after="0" w:afterAutospacing="0" w:line="260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8 541</w:t>
            </w:r>
          </w:p>
        </w:tc>
        <w:tc>
          <w:tcPr>
            <w:tcW w:w="10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8 982</w:t>
            </w:r>
          </w:p>
        </w:tc>
        <w:tc>
          <w:tcPr>
            <w:tcW w:w="3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F921FA" w:rsidRPr="00D76AB2" w:rsidTr="009957E7">
        <w:trPr>
          <w:trHeight w:val="494"/>
        </w:trPr>
        <w:tc>
          <w:tcPr>
            <w:tcW w:w="1858" w:type="dxa"/>
            <w:vMerge/>
            <w:vAlign w:val="center"/>
            <w:hideMark/>
          </w:tcPr>
          <w:p w:rsidR="00F921FA" w:rsidRPr="000C5183" w:rsidRDefault="00F921FA" w:rsidP="00F5664A">
            <w:pPr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0C5183" w:rsidRDefault="00F921FA" w:rsidP="00D76AB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71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88 653</w:t>
            </w:r>
          </w:p>
        </w:tc>
        <w:tc>
          <w:tcPr>
            <w:tcW w:w="10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98 683</w:t>
            </w:r>
          </w:p>
        </w:tc>
        <w:tc>
          <w:tcPr>
            <w:tcW w:w="336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11.31%</w:t>
            </w:r>
          </w:p>
        </w:tc>
      </w:tr>
    </w:tbl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E4029E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FB4" w:rsidRDefault="00934FB4" w:rsidP="00EC376A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21FA" w:rsidRPr="00F921FA" w:rsidRDefault="00F921FA" w:rsidP="00F921FA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F921FA">
        <w:rPr>
          <w:rFonts w:ascii="Franklin Gothic Book" w:hAnsi="Franklin Gothic Book"/>
          <w:sz w:val="22"/>
          <w:szCs w:val="22"/>
        </w:rPr>
        <w:t>По типу дома на рынке строящегося жилья изменение цены предложения в кирпично-монолитных домах по отношению к декабрю 2013 года составило 8,7%. Панельные дома подорожали на 21,6%. Самые дорогие квартиры предлагаются в домах кирпично-монолитной постройки, в декабре 2014 года средняя цена предложения в целом по рынку новостроек составила 98,7 тыс. руб. за кв. м. Стоимость квадратного метра в панельных строящихся домах</w:t>
      </w:r>
      <w:proofErr w:type="gramEnd"/>
      <w:r w:rsidRPr="00F921FA">
        <w:rPr>
          <w:rFonts w:ascii="Franklin Gothic Book" w:hAnsi="Franklin Gothic Book"/>
          <w:sz w:val="22"/>
          <w:szCs w:val="22"/>
        </w:rPr>
        <w:t xml:space="preserve"> на конец года – 88,4 тыс. руб. </w:t>
      </w:r>
    </w:p>
    <w:p w:rsidR="00814C34" w:rsidRDefault="00814C34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C3084" w:rsidRPr="00F5664A" w:rsidRDefault="00FC3084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FC3084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B9D" w:rsidRDefault="00F921FA" w:rsidP="00FC3084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F921FA">
        <w:rPr>
          <w:rFonts w:ascii="Franklin Gothic Book" w:hAnsi="Franklin Gothic Book" w:cs="Times New Roman"/>
          <w:sz w:val="22"/>
          <w:szCs w:val="22"/>
        </w:rPr>
        <w:lastRenderedPageBreak/>
        <w:drawing>
          <wp:inline distT="0" distB="0" distL="0" distR="0">
            <wp:extent cx="2952000" cy="1728000"/>
            <wp:effectExtent l="19050" t="0" r="19800" b="5550"/>
            <wp:docPr id="2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C376A" w:rsidRDefault="00EC376A" w:rsidP="00FC3084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59" name="Рисунок 3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84" w:rsidRPr="000C5183" w:rsidRDefault="00FC3084" w:rsidP="00FC3084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дома, руб./кв. м</w:t>
      </w:r>
    </w:p>
    <w:p w:rsidR="00FC3084" w:rsidRDefault="00FC3084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D76AB2" w:rsidRPr="000C5183" w:rsidRDefault="00D76AB2" w:rsidP="00D76AB2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дома, руб./кв. м</w:t>
      </w:r>
    </w:p>
    <w:tbl>
      <w:tblPr>
        <w:tblW w:w="93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1"/>
        <w:gridCol w:w="2283"/>
        <w:gridCol w:w="1757"/>
        <w:gridCol w:w="2148"/>
      </w:tblGrid>
      <w:tr w:rsidR="00F921FA" w:rsidRPr="00FC3084" w:rsidTr="00D76AB2">
        <w:trPr>
          <w:trHeight w:val="300"/>
        </w:trPr>
        <w:tc>
          <w:tcPr>
            <w:tcW w:w="31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151064" w:rsidRDefault="00F921FA" w:rsidP="00411163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Тип дома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за год</w:t>
            </w:r>
          </w:p>
        </w:tc>
      </w:tr>
      <w:tr w:rsidR="00F921FA" w:rsidRPr="00FC3084" w:rsidTr="00C22052">
        <w:trPr>
          <w:trHeight w:val="54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0C5183" w:rsidRDefault="00F921FA" w:rsidP="0041116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Панель</w:t>
            </w:r>
          </w:p>
        </w:tc>
        <w:tc>
          <w:tcPr>
            <w:tcW w:w="22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72 730</w:t>
            </w:r>
          </w:p>
        </w:tc>
        <w:tc>
          <w:tcPr>
            <w:tcW w:w="17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88 441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21.60%</w:t>
            </w:r>
          </w:p>
        </w:tc>
      </w:tr>
      <w:tr w:rsidR="00F921FA" w:rsidRPr="00FC3084" w:rsidTr="00C22052">
        <w:trPr>
          <w:trHeight w:val="58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0C5183" w:rsidRDefault="00F921FA" w:rsidP="0041116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90 783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98 670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8.69%</w:t>
            </w:r>
          </w:p>
        </w:tc>
      </w:tr>
    </w:tbl>
    <w:p w:rsidR="002D2B9D" w:rsidRPr="00F5664A" w:rsidRDefault="002D2B9D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2D2B9D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9CA" w:rsidRDefault="004B09CA" w:rsidP="009872AF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4B09CA" w:rsidRDefault="004B09CA" w:rsidP="004B09CA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21FA" w:rsidRPr="00F921FA" w:rsidRDefault="00F921FA" w:rsidP="00F921FA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921FA">
        <w:rPr>
          <w:rFonts w:ascii="Franklin Gothic Book" w:hAnsi="Franklin Gothic Book"/>
          <w:sz w:val="22"/>
          <w:szCs w:val="22"/>
        </w:rPr>
        <w:t xml:space="preserve">За прошедший 2014 год на рынке новостроек изменение стоимости одно-, двух- и трехкомнатных квартир в кирпично-монолитных домах составило 8,4%, 8,7% и 14,8% соответственно. </w:t>
      </w:r>
      <w:proofErr w:type="gramStart"/>
      <w:r w:rsidRPr="00F921FA">
        <w:rPr>
          <w:rFonts w:ascii="Franklin Gothic Book" w:hAnsi="Franklin Gothic Book"/>
          <w:sz w:val="22"/>
          <w:szCs w:val="22"/>
        </w:rPr>
        <w:t xml:space="preserve">Изменение стоимости квадратного метра в панельных домах по отношению к декабрю 2013 года составило для однокомнатных квартир – 17,5%, для двухкомнатных – 24,6%, для трехкомнатных квартир – 35,1%. </w:t>
      </w:r>
      <w:proofErr w:type="gramEnd"/>
    </w:p>
    <w:p w:rsidR="00F921FA" w:rsidRPr="00F921FA" w:rsidRDefault="00F921FA" w:rsidP="00F921FA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921FA">
        <w:rPr>
          <w:rFonts w:ascii="Franklin Gothic Book" w:hAnsi="Franklin Gothic Book"/>
          <w:sz w:val="22"/>
          <w:szCs w:val="22"/>
        </w:rPr>
        <w:t xml:space="preserve">Самыми дорогими по стоимости квадратного метра на рынке квартир в строящихся домах являются трехкомнатные квартиры в кирпично-монолитных домах. Цена предложения в декабре 2014 года составила 103,1 тыс. руб. за кв. м. Самыми дешевыми вариантами по стоимости квадратного метра остаются трехкомнатные квартиры в домах панельной постройки. На конец декабря 2014 года средняя цена предложения составила 85,4 тыс. руб. за кв. м жилья. </w:t>
      </w:r>
    </w:p>
    <w:p w:rsidR="00017DF1" w:rsidRPr="00EC376A" w:rsidRDefault="00017DF1" w:rsidP="009872AF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D76AB2" w:rsidRPr="00411163" w:rsidRDefault="00D76AB2" w:rsidP="00D76AB2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411163">
        <w:rPr>
          <w:rFonts w:ascii="Franklin Gothic Book" w:hAnsi="Franklin Gothic Book"/>
          <w:i/>
          <w:iCs/>
          <w:sz w:val="22"/>
          <w:szCs w:val="22"/>
        </w:rPr>
        <w:lastRenderedPageBreak/>
        <w:t>Цены по типу квартир и типу дома, руб./кв. м</w:t>
      </w:r>
    </w:p>
    <w:p w:rsidR="004B09CA" w:rsidRDefault="004B09CA" w:rsidP="00F5664A">
      <w:pPr>
        <w:pStyle w:val="Tabledate"/>
        <w:jc w:val="both"/>
        <w:rPr>
          <w:rFonts w:ascii="Franklin Gothic Book" w:hAnsi="Franklin Gothic Book"/>
          <w:i/>
          <w:iCs/>
          <w:sz w:val="22"/>
          <w:szCs w:val="22"/>
        </w:rPr>
      </w:pPr>
    </w:p>
    <w:p w:rsidR="002D2B9D" w:rsidRPr="00411163" w:rsidRDefault="00EC376A" w:rsidP="00F5664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i/>
          <w:iCs/>
          <w:sz w:val="22"/>
          <w:szCs w:val="22"/>
        </w:rPr>
        <w:t>Кирпично-монолитны</w:t>
      </w:r>
      <w:r w:rsidR="002D2B9D" w:rsidRPr="00411163">
        <w:rPr>
          <w:rFonts w:ascii="Franklin Gothic Book" w:hAnsi="Franklin Gothic Book"/>
          <w:i/>
          <w:iCs/>
          <w:sz w:val="22"/>
          <w:szCs w:val="22"/>
        </w:rPr>
        <w:t>е дома</w:t>
      </w:r>
    </w:p>
    <w:tbl>
      <w:tblPr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8"/>
        <w:gridCol w:w="1137"/>
        <w:gridCol w:w="1237"/>
        <w:gridCol w:w="1138"/>
        <w:gridCol w:w="1238"/>
        <w:gridCol w:w="1137"/>
        <w:gridCol w:w="1256"/>
        <w:gridCol w:w="1139"/>
      </w:tblGrid>
      <w:tr w:rsidR="00F921FA" w:rsidRPr="00E00BD7" w:rsidTr="00BA40D8">
        <w:trPr>
          <w:trHeight w:val="483"/>
        </w:trPr>
        <w:tc>
          <w:tcPr>
            <w:tcW w:w="1358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F921FA" w:rsidRPr="00E00BD7" w:rsidRDefault="00F921FA" w:rsidP="00F5664A">
            <w:pPr>
              <w:spacing w:after="0" w:line="240" w:lineRule="auto"/>
              <w:jc w:val="both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</w:p>
        </w:tc>
        <w:tc>
          <w:tcPr>
            <w:tcW w:w="3512" w:type="dxa"/>
            <w:gridSpan w:val="3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декабрь 2013 года</w:t>
            </w:r>
          </w:p>
        </w:tc>
        <w:tc>
          <w:tcPr>
            <w:tcW w:w="3631" w:type="dxa"/>
            <w:gridSpan w:val="3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декабрь 2014 года</w:t>
            </w:r>
          </w:p>
        </w:tc>
        <w:tc>
          <w:tcPr>
            <w:tcW w:w="1139" w:type="dxa"/>
            <w:vMerge w:val="restart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F921FA" w:rsidRPr="00F921FA" w:rsidRDefault="00F921FA" w:rsidP="00F921F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</w:pPr>
            <w:r w:rsidRPr="00F921FA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Изменение </w:t>
            </w:r>
          </w:p>
          <w:p w:rsidR="00F921FA" w:rsidRPr="00411163" w:rsidRDefault="00F921FA" w:rsidP="00F921F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i/>
                <w:sz w:val="18"/>
                <w:szCs w:val="18"/>
                <w:lang w:eastAsia="ru-RU"/>
              </w:rPr>
            </w:pPr>
            <w:r w:rsidRPr="00F921FA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за го</w:t>
            </w: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д</w:t>
            </w:r>
          </w:p>
        </w:tc>
      </w:tr>
      <w:tr w:rsidR="00AF1796" w:rsidRPr="00E00BD7" w:rsidTr="00E00BD7">
        <w:trPr>
          <w:trHeight w:val="453"/>
        </w:trPr>
        <w:tc>
          <w:tcPr>
            <w:tcW w:w="135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41116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proofErr w:type="spellStart"/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комнатность</w:t>
            </w:r>
            <w:proofErr w:type="spellEnd"/>
          </w:p>
        </w:tc>
        <w:tc>
          <w:tcPr>
            <w:tcW w:w="1137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AF1796" w:rsidRPr="00411163" w:rsidRDefault="00AF1796" w:rsidP="00E00BD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237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AF1796" w:rsidRPr="00411163" w:rsidRDefault="00AF1796" w:rsidP="00E00BD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13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площадь,</w:t>
            </w:r>
          </w:p>
          <w:p w:rsidR="00AF1796" w:rsidRPr="00411163" w:rsidRDefault="00AF1796" w:rsidP="00E00BD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кв. м</w:t>
            </w:r>
          </w:p>
        </w:tc>
        <w:tc>
          <w:tcPr>
            <w:tcW w:w="123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AF1796" w:rsidRPr="00411163" w:rsidRDefault="00AF1796" w:rsidP="00E00BD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137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AF1796" w:rsidRPr="00411163" w:rsidRDefault="00AF1796" w:rsidP="00E00BD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256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площадь,</w:t>
            </w:r>
          </w:p>
          <w:p w:rsidR="00AF1796" w:rsidRPr="00411163" w:rsidRDefault="00AF1796" w:rsidP="00E00BD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кв. м</w:t>
            </w:r>
          </w:p>
        </w:tc>
        <w:tc>
          <w:tcPr>
            <w:tcW w:w="0" w:type="auto"/>
            <w:vMerge/>
            <w:vAlign w:val="center"/>
            <w:hideMark/>
          </w:tcPr>
          <w:p w:rsidR="00AF1796" w:rsidRPr="00411163" w:rsidRDefault="00AF1796" w:rsidP="00E00BD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</w:tr>
      <w:tr w:rsidR="00F921FA" w:rsidRPr="00E00BD7" w:rsidTr="0023182B">
        <w:trPr>
          <w:trHeight w:val="535"/>
        </w:trPr>
        <w:tc>
          <w:tcPr>
            <w:tcW w:w="135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F921FA" w:rsidRPr="00411163" w:rsidRDefault="00F921FA" w:rsidP="0041116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3 502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90 234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38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3 724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97 779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37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8.36%</w:t>
            </w:r>
          </w:p>
        </w:tc>
      </w:tr>
      <w:tr w:rsidR="00F921FA" w:rsidRPr="00E00BD7" w:rsidTr="0023182B">
        <w:trPr>
          <w:trHeight w:val="568"/>
        </w:trPr>
        <w:tc>
          <w:tcPr>
            <w:tcW w:w="135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F921FA" w:rsidRPr="00411163" w:rsidRDefault="00F921FA" w:rsidP="0041116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1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5 821</w:t>
            </w:r>
          </w:p>
        </w:tc>
        <w:tc>
          <w:tcPr>
            <w:tcW w:w="12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89 542</w:t>
            </w:r>
          </w:p>
        </w:tc>
        <w:tc>
          <w:tcPr>
            <w:tcW w:w="113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63</w:t>
            </w:r>
          </w:p>
        </w:tc>
        <w:tc>
          <w:tcPr>
            <w:tcW w:w="123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6 102</w:t>
            </w:r>
          </w:p>
        </w:tc>
        <w:tc>
          <w:tcPr>
            <w:tcW w:w="11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97 295</w:t>
            </w:r>
          </w:p>
        </w:tc>
        <w:tc>
          <w:tcPr>
            <w:tcW w:w="125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61</w:t>
            </w:r>
          </w:p>
        </w:tc>
        <w:tc>
          <w:tcPr>
            <w:tcW w:w="113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8.66%</w:t>
            </w:r>
          </w:p>
        </w:tc>
      </w:tr>
      <w:tr w:rsidR="00F921FA" w:rsidRPr="00E00BD7" w:rsidTr="0023182B">
        <w:trPr>
          <w:trHeight w:val="568"/>
        </w:trPr>
        <w:tc>
          <w:tcPr>
            <w:tcW w:w="135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F921FA" w:rsidRPr="00411163" w:rsidRDefault="00F921FA" w:rsidP="0041116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8 697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89 875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92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9 613</w:t>
            </w:r>
          </w:p>
        </w:tc>
        <w:tc>
          <w:tcPr>
            <w:tcW w:w="11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103 147</w:t>
            </w:r>
          </w:p>
        </w:tc>
        <w:tc>
          <w:tcPr>
            <w:tcW w:w="12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14.77%</w:t>
            </w:r>
          </w:p>
        </w:tc>
      </w:tr>
    </w:tbl>
    <w:p w:rsidR="004B09CA" w:rsidRDefault="004B09CA" w:rsidP="00F5664A">
      <w:pPr>
        <w:pStyle w:val="Tabledate"/>
        <w:jc w:val="both"/>
        <w:rPr>
          <w:rFonts w:ascii="Franklin Gothic Book" w:hAnsi="Franklin Gothic Book"/>
          <w:i/>
          <w:iCs/>
          <w:sz w:val="22"/>
          <w:szCs w:val="22"/>
        </w:rPr>
      </w:pPr>
    </w:p>
    <w:p w:rsidR="002D2B9D" w:rsidRPr="00411163" w:rsidRDefault="00EC376A" w:rsidP="00F5664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i/>
          <w:iCs/>
          <w:sz w:val="22"/>
          <w:szCs w:val="22"/>
        </w:rPr>
        <w:t>Панель</w:t>
      </w:r>
      <w:r w:rsidR="002D2B9D" w:rsidRPr="00411163">
        <w:rPr>
          <w:rFonts w:ascii="Franklin Gothic Book" w:hAnsi="Franklin Gothic Book"/>
          <w:i/>
          <w:iCs/>
          <w:sz w:val="22"/>
          <w:szCs w:val="22"/>
        </w:rPr>
        <w:t>ные дома</w:t>
      </w:r>
    </w:p>
    <w:tbl>
      <w:tblPr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9"/>
        <w:gridCol w:w="1136"/>
        <w:gridCol w:w="1237"/>
        <w:gridCol w:w="1138"/>
        <w:gridCol w:w="1236"/>
        <w:gridCol w:w="1137"/>
        <w:gridCol w:w="1258"/>
        <w:gridCol w:w="1139"/>
      </w:tblGrid>
      <w:tr w:rsidR="00F921FA" w:rsidRPr="00E00BD7" w:rsidTr="00867D07">
        <w:trPr>
          <w:trHeight w:val="483"/>
        </w:trPr>
        <w:tc>
          <w:tcPr>
            <w:tcW w:w="1359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F921FA" w:rsidRPr="00E00BD7" w:rsidRDefault="00F921FA" w:rsidP="00F5664A">
            <w:pPr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lang w:eastAsia="ru-RU"/>
              </w:rPr>
            </w:pPr>
          </w:p>
        </w:tc>
        <w:tc>
          <w:tcPr>
            <w:tcW w:w="3511" w:type="dxa"/>
            <w:gridSpan w:val="3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921FA" w:rsidRPr="00F921FA" w:rsidRDefault="00F921FA" w:rsidP="00F92F9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декабрь 2013 года</w:t>
            </w:r>
          </w:p>
        </w:tc>
        <w:tc>
          <w:tcPr>
            <w:tcW w:w="3631" w:type="dxa"/>
            <w:gridSpan w:val="3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921FA" w:rsidRPr="00F921FA" w:rsidRDefault="00F921FA" w:rsidP="00F92F99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декабрь 2014 года</w:t>
            </w:r>
          </w:p>
        </w:tc>
        <w:tc>
          <w:tcPr>
            <w:tcW w:w="1139" w:type="dxa"/>
            <w:vMerge w:val="restart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F921FA" w:rsidRPr="00F921FA" w:rsidRDefault="00F921FA" w:rsidP="00F921F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</w:pPr>
            <w:r w:rsidRPr="00F921FA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Изменение </w:t>
            </w:r>
          </w:p>
          <w:p w:rsidR="00F921FA" w:rsidRPr="00411163" w:rsidRDefault="00F921FA" w:rsidP="00F921F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921FA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за год</w:t>
            </w:r>
          </w:p>
        </w:tc>
      </w:tr>
      <w:tr w:rsidR="004B09CA" w:rsidRPr="00411163" w:rsidTr="00E00BD7">
        <w:trPr>
          <w:trHeight w:val="453"/>
        </w:trPr>
        <w:tc>
          <w:tcPr>
            <w:tcW w:w="1359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1116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комнатность</w:t>
            </w:r>
            <w:proofErr w:type="spellEnd"/>
          </w:p>
        </w:tc>
        <w:tc>
          <w:tcPr>
            <w:tcW w:w="1136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B09C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4B09CA" w:rsidRPr="00411163" w:rsidRDefault="004B09CA" w:rsidP="004B09C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237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B09C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4B09CA" w:rsidRPr="00411163" w:rsidRDefault="004B09CA" w:rsidP="004B09C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13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B09C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площадь,</w:t>
            </w:r>
          </w:p>
          <w:p w:rsidR="004B09CA" w:rsidRPr="00411163" w:rsidRDefault="004B09CA" w:rsidP="004B09C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кв. м</w:t>
            </w:r>
          </w:p>
        </w:tc>
        <w:tc>
          <w:tcPr>
            <w:tcW w:w="1236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B09C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4B09CA" w:rsidRPr="00411163" w:rsidRDefault="004B09CA" w:rsidP="004B09C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137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B09C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</w:t>
            </w:r>
          </w:p>
          <w:p w:rsidR="004B09CA" w:rsidRPr="00411163" w:rsidRDefault="004B09CA" w:rsidP="004B09C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258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B09CA" w:rsidRPr="00411163" w:rsidRDefault="004B09CA" w:rsidP="004B09CA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площадь,</w:t>
            </w:r>
          </w:p>
          <w:p w:rsidR="004B09CA" w:rsidRPr="00411163" w:rsidRDefault="004B09CA" w:rsidP="004B09C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1116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кв. м</w:t>
            </w:r>
          </w:p>
        </w:tc>
        <w:tc>
          <w:tcPr>
            <w:tcW w:w="0" w:type="auto"/>
            <w:vMerge/>
            <w:vAlign w:val="center"/>
            <w:hideMark/>
          </w:tcPr>
          <w:p w:rsidR="004B09CA" w:rsidRPr="00411163" w:rsidRDefault="004B09CA" w:rsidP="00E00BD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</w:tr>
      <w:tr w:rsidR="00F921FA" w:rsidRPr="00E00BD7" w:rsidTr="0023182B">
        <w:trPr>
          <w:trHeight w:val="535"/>
        </w:trPr>
        <w:tc>
          <w:tcPr>
            <w:tcW w:w="1359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F921FA" w:rsidRPr="00411163" w:rsidRDefault="00F921FA" w:rsidP="0041116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13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2 961</w:t>
            </w:r>
          </w:p>
        </w:tc>
        <w:tc>
          <w:tcPr>
            <w:tcW w:w="1237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77 235</w:t>
            </w:r>
          </w:p>
        </w:tc>
        <w:tc>
          <w:tcPr>
            <w:tcW w:w="113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38</w:t>
            </w:r>
          </w:p>
        </w:tc>
        <w:tc>
          <w:tcPr>
            <w:tcW w:w="123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3 361</w:t>
            </w:r>
          </w:p>
        </w:tc>
        <w:tc>
          <w:tcPr>
            <w:tcW w:w="1137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90 730</w:t>
            </w:r>
          </w:p>
        </w:tc>
        <w:tc>
          <w:tcPr>
            <w:tcW w:w="125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37</w:t>
            </w:r>
          </w:p>
        </w:tc>
        <w:tc>
          <w:tcPr>
            <w:tcW w:w="113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17.47%</w:t>
            </w:r>
          </w:p>
        </w:tc>
      </w:tr>
      <w:tr w:rsidR="00F921FA" w:rsidRPr="00E00BD7" w:rsidTr="0023182B">
        <w:trPr>
          <w:trHeight w:val="568"/>
        </w:trPr>
        <w:tc>
          <w:tcPr>
            <w:tcW w:w="1359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F921FA" w:rsidRPr="00411163" w:rsidRDefault="00F921FA" w:rsidP="0041116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136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4 373</w:t>
            </w:r>
          </w:p>
        </w:tc>
        <w:tc>
          <w:tcPr>
            <w:tcW w:w="1237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71 818</w:t>
            </w:r>
          </w:p>
        </w:tc>
        <w:tc>
          <w:tcPr>
            <w:tcW w:w="1138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61</w:t>
            </w:r>
          </w:p>
        </w:tc>
        <w:tc>
          <w:tcPr>
            <w:tcW w:w="1236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5 303</w:t>
            </w:r>
          </w:p>
        </w:tc>
        <w:tc>
          <w:tcPr>
            <w:tcW w:w="1137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89 517</w:t>
            </w:r>
          </w:p>
        </w:tc>
        <w:tc>
          <w:tcPr>
            <w:tcW w:w="1258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59</w:t>
            </w:r>
          </w:p>
        </w:tc>
        <w:tc>
          <w:tcPr>
            <w:tcW w:w="1139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24.64%</w:t>
            </w:r>
          </w:p>
        </w:tc>
      </w:tr>
      <w:tr w:rsidR="00F921FA" w:rsidRPr="00E00BD7" w:rsidTr="0023182B">
        <w:trPr>
          <w:trHeight w:val="568"/>
        </w:trPr>
        <w:tc>
          <w:tcPr>
            <w:tcW w:w="1359" w:type="dxa"/>
            <w:shd w:val="clear" w:color="auto" w:fill="EBEBF5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F921FA" w:rsidRPr="00411163" w:rsidRDefault="00F921FA" w:rsidP="00411163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13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5 220</w:t>
            </w:r>
          </w:p>
        </w:tc>
        <w:tc>
          <w:tcPr>
            <w:tcW w:w="1237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63 224</w:t>
            </w:r>
          </w:p>
        </w:tc>
        <w:tc>
          <w:tcPr>
            <w:tcW w:w="113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82</w:t>
            </w:r>
          </w:p>
        </w:tc>
        <w:tc>
          <w:tcPr>
            <w:tcW w:w="123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7 114</w:t>
            </w:r>
          </w:p>
        </w:tc>
        <w:tc>
          <w:tcPr>
            <w:tcW w:w="1137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85 426</w:t>
            </w:r>
          </w:p>
        </w:tc>
        <w:tc>
          <w:tcPr>
            <w:tcW w:w="125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82</w:t>
            </w:r>
          </w:p>
        </w:tc>
        <w:tc>
          <w:tcPr>
            <w:tcW w:w="113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35.12%</w:t>
            </w:r>
          </w:p>
        </w:tc>
      </w:tr>
    </w:tbl>
    <w:p w:rsidR="00CB0AD0" w:rsidRPr="00F5664A" w:rsidRDefault="00CB0AD0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F921FA" w:rsidRPr="00F921FA" w:rsidRDefault="00F921FA" w:rsidP="00F921FA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921FA">
        <w:rPr>
          <w:rFonts w:ascii="Franklin Gothic Book" w:hAnsi="Franklin Gothic Book"/>
          <w:sz w:val="22"/>
          <w:szCs w:val="22"/>
        </w:rPr>
        <w:t xml:space="preserve">Самое дорогое жилье на рынке строящегося жилья предлагается в центральных районах города – Центральном, Петроградском, Адмиралтейском и Василеостровском. Средняя цена «квадрата» жилья в них – от 104,9 до 161,3 тыс. руб. Самые дешевые квартиры в Выборгском районе Петербурга, квадратный метр жилья в них стоит в среднем от 69,7 тыс. руб. в зависимости от типа квартиры и типа дома. </w:t>
      </w:r>
    </w:p>
    <w:p w:rsidR="0023182B" w:rsidRPr="0023182B" w:rsidRDefault="0023182B" w:rsidP="00411163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285542" w:rsidRPr="00411163" w:rsidRDefault="0023182B" w:rsidP="0023182B">
      <w:pPr>
        <w:pStyle w:val="Tabledate"/>
        <w:numPr>
          <w:ilvl w:val="0"/>
          <w:numId w:val="2"/>
        </w:numPr>
        <w:jc w:val="both"/>
        <w:rPr>
          <w:rFonts w:ascii="Franklin Gothic Book" w:hAnsi="Franklin Gothic Book" w:cs="Times New Roman"/>
          <w:sz w:val="22"/>
          <w:szCs w:val="22"/>
        </w:rPr>
      </w:pPr>
      <w:r w:rsidRPr="0023182B">
        <w:rPr>
          <w:rFonts w:ascii="Franklin Gothic Book" w:hAnsi="Franklin Gothic Book"/>
          <w:i/>
          <w:iCs/>
          <w:sz w:val="28"/>
          <w:szCs w:val="28"/>
        </w:rPr>
        <w:t xml:space="preserve"> </w:t>
      </w:r>
      <w:r w:rsidR="00E00BD7" w:rsidRPr="00411163">
        <w:rPr>
          <w:rFonts w:ascii="Franklin Gothic Book" w:hAnsi="Franklin Gothic Book"/>
          <w:i/>
          <w:iCs/>
          <w:sz w:val="22"/>
          <w:szCs w:val="22"/>
        </w:rPr>
        <w:t>Цены по районам и типам квартир, руб./кв. м</w:t>
      </w: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4"/>
        <w:gridCol w:w="1215"/>
        <w:gridCol w:w="1217"/>
        <w:gridCol w:w="1118"/>
        <w:gridCol w:w="1335"/>
        <w:gridCol w:w="1337"/>
        <w:gridCol w:w="1219"/>
      </w:tblGrid>
      <w:tr w:rsidR="00214288" w:rsidRPr="00E00BD7" w:rsidTr="00E00BD7">
        <w:trPr>
          <w:trHeight w:val="33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E00BD7" w:rsidRDefault="00214288" w:rsidP="00F5664A">
            <w:pPr>
              <w:spacing w:after="0" w:line="33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  <w:r w:rsidRPr="00E00BD7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355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Однокомнатные квартиры</w:t>
            </w:r>
          </w:p>
        </w:tc>
        <w:tc>
          <w:tcPr>
            <w:tcW w:w="3891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Двухкомнатные квартиры</w:t>
            </w:r>
          </w:p>
        </w:tc>
      </w:tr>
      <w:tr w:rsidR="00214288" w:rsidRPr="00E00BD7" w:rsidTr="00E00BD7">
        <w:trPr>
          <w:trHeight w:val="423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F5664A">
            <w:pPr>
              <w:spacing w:after="0" w:line="240" w:lineRule="auto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1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118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Изменение за </w:t>
            </w:r>
            <w:r w:rsidR="00F921FA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3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3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21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</w:t>
            </w:r>
          </w:p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за </w:t>
            </w:r>
            <w:r w:rsidR="00F921FA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год</w:t>
            </w:r>
          </w:p>
        </w:tc>
      </w:tr>
      <w:tr w:rsidR="00F921FA" w:rsidRPr="00E00BD7" w:rsidTr="0023182B">
        <w:trPr>
          <w:trHeight w:val="267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267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4 372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117 239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10.66%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7 912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127 325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21.58%</w:t>
            </w:r>
          </w:p>
        </w:tc>
      </w:tr>
      <w:tr w:rsidR="00F921FA" w:rsidRPr="00E00BD7" w:rsidTr="0023182B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4 160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104 866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-8.68%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7 291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114 933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-3.89%</w:t>
            </w:r>
          </w:p>
        </w:tc>
      </w:tr>
      <w:tr w:rsidR="00F921FA" w:rsidRPr="00E00BD7" w:rsidTr="0023182B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2 880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78 450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-5.10%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4 336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73 392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-7.33%</w:t>
            </w:r>
          </w:p>
        </w:tc>
      </w:tr>
      <w:tr w:rsidR="00F921FA" w:rsidRPr="00E00BD7" w:rsidTr="0023182B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3 364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94 330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18.52%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5 046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87 903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14.20%</w:t>
            </w:r>
          </w:p>
        </w:tc>
      </w:tr>
      <w:tr w:rsidR="00F921FA" w:rsidRPr="00E00BD7" w:rsidTr="0023182B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3 597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93 446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23.75%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5 589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89 495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12.97%</w:t>
            </w:r>
          </w:p>
        </w:tc>
      </w:tr>
      <w:tr w:rsidR="00F921FA" w:rsidRPr="00E00BD7" w:rsidTr="0023182B">
        <w:trPr>
          <w:trHeight w:val="338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38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3 763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99 868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14.59%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5 879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98 039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12.65%</w:t>
            </w:r>
          </w:p>
        </w:tc>
      </w:tr>
      <w:tr w:rsidR="00F921FA" w:rsidRPr="00E00BD7" w:rsidTr="0023182B">
        <w:trPr>
          <w:trHeight w:val="342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2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3 271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87 020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11.51%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5 144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84 597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16.43%</w:t>
            </w:r>
          </w:p>
        </w:tc>
      </w:tr>
      <w:tr w:rsidR="00F921FA" w:rsidRPr="00E00BD7" w:rsidTr="0023182B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4 081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107 283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12.64%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6 148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102 681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14.49%</w:t>
            </w:r>
          </w:p>
        </w:tc>
      </w:tr>
      <w:tr w:rsidR="00F921FA" w:rsidRPr="00E00BD7" w:rsidTr="0023182B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3 097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87 778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1.98%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4 597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81 959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5.85%</w:t>
            </w:r>
          </w:p>
        </w:tc>
      </w:tr>
      <w:tr w:rsidR="00F921FA" w:rsidRPr="00E00BD7" w:rsidTr="0023182B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6 607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157 366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17.30%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12 057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157 619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15.96%</w:t>
            </w:r>
          </w:p>
        </w:tc>
      </w:tr>
      <w:tr w:rsidR="00F921FA" w:rsidRPr="00E00BD7" w:rsidTr="0023182B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3 862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100 094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11.58%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5 861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94 901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3.79%</w:t>
            </w:r>
          </w:p>
        </w:tc>
      </w:tr>
      <w:tr w:rsidR="00F921FA" w:rsidRPr="00E00BD7" w:rsidTr="0023182B">
        <w:trPr>
          <w:trHeight w:val="301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01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Фрунзенский</w:t>
            </w:r>
            <w:proofErr w:type="spellEnd"/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4 005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101 087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14.38%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5 701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94 188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10.78%</w:t>
            </w:r>
          </w:p>
        </w:tc>
      </w:tr>
      <w:tr w:rsidR="00F921FA" w:rsidRPr="00E00BD7" w:rsidTr="0023182B">
        <w:trPr>
          <w:trHeight w:val="38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240" w:lineRule="auto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6 152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131 624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-5.63%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11 512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153 645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-0.27%</w:t>
            </w:r>
          </w:p>
        </w:tc>
      </w:tr>
    </w:tbl>
    <w:p w:rsidR="00CB0AD0" w:rsidRPr="00F5664A" w:rsidRDefault="00CB0AD0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4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2"/>
        <w:gridCol w:w="2009"/>
        <w:gridCol w:w="2009"/>
        <w:gridCol w:w="1812"/>
      </w:tblGrid>
      <w:tr w:rsidR="00214288" w:rsidRPr="00E00BD7" w:rsidTr="0023182B">
        <w:trPr>
          <w:trHeight w:val="33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E00BD7" w:rsidRDefault="00214288" w:rsidP="00F5664A">
            <w:pPr>
              <w:spacing w:after="0" w:line="33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  <w:r w:rsidRPr="00E00BD7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583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Трехкомнатные квартиры</w:t>
            </w:r>
          </w:p>
        </w:tc>
      </w:tr>
      <w:tr w:rsidR="00214288" w:rsidRPr="00E00BD7" w:rsidTr="00E00BD7">
        <w:trPr>
          <w:trHeight w:val="431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F5664A">
            <w:pPr>
              <w:spacing w:after="0" w:line="240" w:lineRule="auto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81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14288" w:rsidRPr="00411163" w:rsidRDefault="00214288" w:rsidP="00E00BD7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Изменение за </w:t>
            </w:r>
            <w:r w:rsidR="00F921FA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год</w:t>
            </w:r>
          </w:p>
        </w:tc>
      </w:tr>
      <w:tr w:rsidR="00F921FA" w:rsidRPr="00E00BD7" w:rsidTr="00E00BD7">
        <w:trPr>
          <w:trHeight w:val="272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267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11 019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114 820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7.49%</w:t>
            </w:r>
          </w:p>
        </w:tc>
      </w:tr>
      <w:tr w:rsidR="00F921FA" w:rsidRPr="00E00BD7" w:rsidTr="00E00BD7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10 156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105 626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-9.98%</w:t>
            </w:r>
          </w:p>
        </w:tc>
      </w:tr>
      <w:tr w:rsidR="00F921FA" w:rsidRPr="00E00BD7" w:rsidTr="00E00BD7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6 152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69 704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-7.93%</w:t>
            </w:r>
          </w:p>
        </w:tc>
      </w:tr>
      <w:tr w:rsidR="00F921FA" w:rsidRPr="00E00BD7" w:rsidTr="00E00BD7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6 595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81 461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19.66%</w:t>
            </w:r>
          </w:p>
        </w:tc>
      </w:tr>
      <w:tr w:rsidR="00F921FA" w:rsidRPr="00E00BD7" w:rsidTr="00E00BD7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7 358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90 379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12.27%</w:t>
            </w:r>
          </w:p>
        </w:tc>
      </w:tr>
      <w:tr w:rsidR="00F921FA" w:rsidRPr="00E00BD7" w:rsidTr="00E00BD7">
        <w:trPr>
          <w:trHeight w:val="344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38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8 835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98 657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21.98%</w:t>
            </w:r>
          </w:p>
        </w:tc>
      </w:tr>
      <w:tr w:rsidR="00F921FA" w:rsidRPr="00E00BD7" w:rsidTr="00E00BD7">
        <w:trPr>
          <w:trHeight w:val="348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2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6 763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77 743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18.73%</w:t>
            </w:r>
          </w:p>
        </w:tc>
      </w:tr>
      <w:tr w:rsidR="00F921FA" w:rsidRPr="00E00BD7" w:rsidTr="00E00BD7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8 345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100 327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6.71%</w:t>
            </w:r>
          </w:p>
        </w:tc>
      </w:tr>
      <w:tr w:rsidR="00F921FA" w:rsidRPr="00E00BD7" w:rsidTr="00E00BD7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6 806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80 419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11.77%</w:t>
            </w:r>
          </w:p>
        </w:tc>
      </w:tr>
      <w:tr w:rsidR="00F921FA" w:rsidRPr="00E00BD7" w:rsidTr="00E00BD7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18 374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161 288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18.58%</w:t>
            </w:r>
          </w:p>
        </w:tc>
      </w:tr>
      <w:tr w:rsidR="00F921FA" w:rsidRPr="00E00BD7" w:rsidTr="00E00BD7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4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8 073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98 019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12.68%</w:t>
            </w:r>
          </w:p>
        </w:tc>
      </w:tr>
      <w:tr w:rsidR="00F921FA" w:rsidRPr="00E00BD7" w:rsidTr="00E00BD7">
        <w:trPr>
          <w:trHeight w:val="30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301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Фрунзенский</w:t>
            </w:r>
            <w:proofErr w:type="spellEnd"/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7 547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88 691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22.06%</w:t>
            </w:r>
          </w:p>
        </w:tc>
      </w:tr>
      <w:tr w:rsidR="00F921FA" w:rsidRPr="00E00BD7" w:rsidTr="00E00BD7">
        <w:trPr>
          <w:trHeight w:val="38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21FA" w:rsidRPr="00411163" w:rsidRDefault="00F921FA" w:rsidP="00F5664A">
            <w:pPr>
              <w:spacing w:after="0" w:line="240" w:lineRule="auto"/>
              <w:jc w:val="both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17 061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159 968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21FA" w:rsidRPr="00F921FA" w:rsidRDefault="00F921FA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921FA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-1.02%</w:t>
            </w:r>
          </w:p>
        </w:tc>
      </w:tr>
    </w:tbl>
    <w:bookmarkEnd w:id="0"/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F5664A">
        <w:rPr>
          <w:rFonts w:ascii="Franklin Gothic Book" w:hAnsi="Franklin Gothic Book" w:cs="Times New Roman"/>
          <w:sz w:val="22"/>
          <w:szCs w:val="22"/>
        </w:rPr>
        <w:t>_____________________________________________________________________________</w:t>
      </w:r>
    </w:p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411163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>Подготовлено:</w:t>
      </w:r>
      <w:r w:rsidR="00BA36AC" w:rsidRPr="00411163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907FCD" w:rsidRPr="00411163" w:rsidRDefault="00907FCD" w:rsidP="00F5664A">
      <w:pPr>
        <w:spacing w:after="0"/>
        <w:jc w:val="both"/>
        <w:rPr>
          <w:rFonts w:ascii="Franklin Gothic Book" w:hAnsi="Franklin Gothic Book"/>
        </w:rPr>
      </w:pPr>
      <w:proofErr w:type="spellStart"/>
      <w:r w:rsidRPr="00411163">
        <w:rPr>
          <w:rFonts w:ascii="Franklin Gothic Book" w:hAnsi="Franklin Gothic Book"/>
        </w:rPr>
        <w:t>Бент</w:t>
      </w:r>
      <w:proofErr w:type="spellEnd"/>
      <w:r w:rsidRPr="00411163">
        <w:rPr>
          <w:rFonts w:ascii="Franklin Gothic Book" w:hAnsi="Franklin Gothic Book"/>
        </w:rPr>
        <w:t xml:space="preserve"> М.А., САРН, ООО «ГК «Бюллетень Недвижимости»</w:t>
      </w:r>
    </w:p>
    <w:p w:rsidR="0079135C" w:rsidRPr="00411163" w:rsidRDefault="0079135C" w:rsidP="00F5664A">
      <w:pPr>
        <w:spacing w:after="0"/>
        <w:jc w:val="both"/>
        <w:rPr>
          <w:rFonts w:ascii="Franklin Gothic Book" w:hAnsi="Franklin Gothic Book"/>
          <w:lang w:val="en-US"/>
        </w:rPr>
      </w:pPr>
      <w:r w:rsidRPr="00411163">
        <w:rPr>
          <w:rFonts w:ascii="Franklin Gothic Book" w:hAnsi="Franklin Gothic Book"/>
        </w:rPr>
        <w:t>тел</w:t>
      </w:r>
      <w:r w:rsidR="00BF6D76" w:rsidRPr="00411163">
        <w:rPr>
          <w:rFonts w:ascii="Franklin Gothic Book" w:hAnsi="Franklin Gothic Book"/>
          <w:lang w:val="en-US"/>
        </w:rPr>
        <w:t>. (812) 325-06-</w:t>
      </w:r>
      <w:r w:rsidRPr="00411163">
        <w:rPr>
          <w:rFonts w:ascii="Franklin Gothic Book" w:hAnsi="Franklin Gothic Book"/>
          <w:lang w:val="en-US"/>
        </w:rPr>
        <w:t>8</w:t>
      </w:r>
      <w:r w:rsidR="00BF6D76" w:rsidRPr="00411163">
        <w:rPr>
          <w:rFonts w:ascii="Franklin Gothic Book" w:hAnsi="Franklin Gothic Book"/>
          <w:lang w:val="en-US"/>
        </w:rPr>
        <w:t>1</w:t>
      </w:r>
      <w:r w:rsidRPr="00411163">
        <w:rPr>
          <w:rFonts w:ascii="Franklin Gothic Book" w:hAnsi="Franklin Gothic Book"/>
          <w:lang w:val="en-US"/>
        </w:rPr>
        <w:t xml:space="preserve">, e-mail: </w:t>
      </w:r>
      <w:hyperlink r:id="rId22" w:history="1">
        <w:r w:rsidRPr="00411163">
          <w:rPr>
            <w:rStyle w:val="a6"/>
            <w:rFonts w:ascii="Franklin Gothic Book" w:hAnsi="Franklin Gothic Book"/>
            <w:lang w:val="en-US"/>
          </w:rPr>
          <w:t>analitika@bn.ru</w:t>
        </w:r>
      </w:hyperlink>
      <w:r w:rsidRPr="00411163">
        <w:rPr>
          <w:rFonts w:ascii="Franklin Gothic Book" w:hAnsi="Franklin Gothic Book"/>
          <w:lang w:val="en-US"/>
        </w:rPr>
        <w:t xml:space="preserve">, </w:t>
      </w:r>
    </w:p>
    <w:p w:rsidR="00954379" w:rsidRPr="00411163" w:rsidRDefault="0079135C" w:rsidP="00F5664A">
      <w:pPr>
        <w:spacing w:after="0"/>
        <w:jc w:val="both"/>
        <w:rPr>
          <w:rFonts w:ascii="Franklin Gothic Book" w:hAnsi="Franklin Gothic Book"/>
        </w:rPr>
      </w:pPr>
      <w:proofErr w:type="gramStart"/>
      <w:r w:rsidRPr="00411163">
        <w:rPr>
          <w:rFonts w:ascii="Franklin Gothic Book" w:hAnsi="Franklin Gothic Book"/>
          <w:lang w:val="en-US"/>
        </w:rPr>
        <w:t>web-</w:t>
      </w:r>
      <w:r w:rsidRPr="00411163">
        <w:rPr>
          <w:rFonts w:ascii="Franklin Gothic Book" w:hAnsi="Franklin Gothic Book"/>
        </w:rPr>
        <w:t>сайт</w:t>
      </w:r>
      <w:proofErr w:type="gramEnd"/>
      <w:r w:rsidRPr="00411163">
        <w:rPr>
          <w:rFonts w:ascii="Franklin Gothic Book" w:hAnsi="Franklin Gothic Book"/>
          <w:lang w:val="en-US"/>
        </w:rPr>
        <w:t>: www.bn.ru</w:t>
      </w:r>
    </w:p>
    <w:sectPr w:rsidR="00954379" w:rsidRPr="00411163" w:rsidSect="00B256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12B"/>
    <w:multiLevelType w:val="multilevel"/>
    <w:tmpl w:val="402E84CC"/>
    <w:lvl w:ilvl="0">
      <w:start w:val="1"/>
      <w:numFmt w:val="decimal"/>
      <w:pStyle w:val="2"/>
      <w:lvlText w:val="Таблица %1. "/>
      <w:lvlJc w:val="left"/>
      <w:pPr>
        <w:ind w:left="360" w:hanging="360"/>
      </w:pPr>
      <w:rPr>
        <w:rFonts w:ascii="Calibri" w:hAnsi="Calibri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69385A"/>
    <w:multiLevelType w:val="hybridMultilevel"/>
    <w:tmpl w:val="89749F46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C07ED"/>
    <w:multiLevelType w:val="hybridMultilevel"/>
    <w:tmpl w:val="1096D03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58ED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604"/>
    <w:rsid w:val="00007E73"/>
    <w:rsid w:val="00017DF1"/>
    <w:rsid w:val="00040C47"/>
    <w:rsid w:val="00047A21"/>
    <w:rsid w:val="000505CF"/>
    <w:rsid w:val="00054FAF"/>
    <w:rsid w:val="000735E6"/>
    <w:rsid w:val="000957AA"/>
    <w:rsid w:val="000A35A6"/>
    <w:rsid w:val="000C5183"/>
    <w:rsid w:val="000C7DAA"/>
    <w:rsid w:val="000E217F"/>
    <w:rsid w:val="001407CE"/>
    <w:rsid w:val="001F0FDE"/>
    <w:rsid w:val="002067E2"/>
    <w:rsid w:val="00214288"/>
    <w:rsid w:val="00224366"/>
    <w:rsid w:val="0023182B"/>
    <w:rsid w:val="00243E1E"/>
    <w:rsid w:val="002614AA"/>
    <w:rsid w:val="00261F85"/>
    <w:rsid w:val="00285542"/>
    <w:rsid w:val="00290895"/>
    <w:rsid w:val="002B1076"/>
    <w:rsid w:val="002D2B9D"/>
    <w:rsid w:val="002E5087"/>
    <w:rsid w:val="002F2DCE"/>
    <w:rsid w:val="002F7924"/>
    <w:rsid w:val="00311F89"/>
    <w:rsid w:val="00316E3D"/>
    <w:rsid w:val="003318EE"/>
    <w:rsid w:val="00356697"/>
    <w:rsid w:val="00361E27"/>
    <w:rsid w:val="0036242C"/>
    <w:rsid w:val="00364BE2"/>
    <w:rsid w:val="003A7347"/>
    <w:rsid w:val="003B7C2F"/>
    <w:rsid w:val="003C0FA6"/>
    <w:rsid w:val="003D47CA"/>
    <w:rsid w:val="003E795B"/>
    <w:rsid w:val="00405A49"/>
    <w:rsid w:val="00411163"/>
    <w:rsid w:val="0041709C"/>
    <w:rsid w:val="004170CF"/>
    <w:rsid w:val="00436D5A"/>
    <w:rsid w:val="004447A9"/>
    <w:rsid w:val="00445808"/>
    <w:rsid w:val="004506FF"/>
    <w:rsid w:val="00457E3A"/>
    <w:rsid w:val="004879A9"/>
    <w:rsid w:val="0049212B"/>
    <w:rsid w:val="004A0DD7"/>
    <w:rsid w:val="004A3F66"/>
    <w:rsid w:val="004B09CA"/>
    <w:rsid w:val="004B6AE5"/>
    <w:rsid w:val="004F06CE"/>
    <w:rsid w:val="004F597C"/>
    <w:rsid w:val="0050741F"/>
    <w:rsid w:val="00524C8E"/>
    <w:rsid w:val="00533C54"/>
    <w:rsid w:val="00533F15"/>
    <w:rsid w:val="00557CEC"/>
    <w:rsid w:val="005719A7"/>
    <w:rsid w:val="00573683"/>
    <w:rsid w:val="0057636A"/>
    <w:rsid w:val="00586AD6"/>
    <w:rsid w:val="00587AD0"/>
    <w:rsid w:val="005901FB"/>
    <w:rsid w:val="0059123A"/>
    <w:rsid w:val="005A4F6A"/>
    <w:rsid w:val="005C2E5E"/>
    <w:rsid w:val="005D601D"/>
    <w:rsid w:val="005E3638"/>
    <w:rsid w:val="005E44AB"/>
    <w:rsid w:val="00634073"/>
    <w:rsid w:val="00660F66"/>
    <w:rsid w:val="006946FE"/>
    <w:rsid w:val="006C651F"/>
    <w:rsid w:val="006E5FBD"/>
    <w:rsid w:val="006F0FD8"/>
    <w:rsid w:val="0071101E"/>
    <w:rsid w:val="00734899"/>
    <w:rsid w:val="00744C83"/>
    <w:rsid w:val="00747ED8"/>
    <w:rsid w:val="00750BB4"/>
    <w:rsid w:val="0077333E"/>
    <w:rsid w:val="0079135C"/>
    <w:rsid w:val="007A40E8"/>
    <w:rsid w:val="007B5537"/>
    <w:rsid w:val="007C209E"/>
    <w:rsid w:val="007D0D26"/>
    <w:rsid w:val="007E3568"/>
    <w:rsid w:val="0080204B"/>
    <w:rsid w:val="00806B2A"/>
    <w:rsid w:val="00814C34"/>
    <w:rsid w:val="00821608"/>
    <w:rsid w:val="008219DF"/>
    <w:rsid w:val="00831CBB"/>
    <w:rsid w:val="0083244D"/>
    <w:rsid w:val="00845670"/>
    <w:rsid w:val="008473D7"/>
    <w:rsid w:val="00855742"/>
    <w:rsid w:val="00860E43"/>
    <w:rsid w:val="008762A3"/>
    <w:rsid w:val="0088517B"/>
    <w:rsid w:val="0089034B"/>
    <w:rsid w:val="00892A0D"/>
    <w:rsid w:val="00894196"/>
    <w:rsid w:val="008D77B4"/>
    <w:rsid w:val="008E3607"/>
    <w:rsid w:val="00904B2D"/>
    <w:rsid w:val="00907FCD"/>
    <w:rsid w:val="0091587E"/>
    <w:rsid w:val="00930E2D"/>
    <w:rsid w:val="00934FB4"/>
    <w:rsid w:val="009411FA"/>
    <w:rsid w:val="00944B50"/>
    <w:rsid w:val="00954379"/>
    <w:rsid w:val="0096639E"/>
    <w:rsid w:val="009872AF"/>
    <w:rsid w:val="00990731"/>
    <w:rsid w:val="009957E7"/>
    <w:rsid w:val="009A464E"/>
    <w:rsid w:val="009A7AF6"/>
    <w:rsid w:val="009C175C"/>
    <w:rsid w:val="00A03A22"/>
    <w:rsid w:val="00A203F6"/>
    <w:rsid w:val="00A221F5"/>
    <w:rsid w:val="00A2697E"/>
    <w:rsid w:val="00A30E49"/>
    <w:rsid w:val="00A45548"/>
    <w:rsid w:val="00A47475"/>
    <w:rsid w:val="00A62D8A"/>
    <w:rsid w:val="00A65534"/>
    <w:rsid w:val="00A76648"/>
    <w:rsid w:val="00AA1CD1"/>
    <w:rsid w:val="00AB38F5"/>
    <w:rsid w:val="00AC0B4E"/>
    <w:rsid w:val="00AF1796"/>
    <w:rsid w:val="00AF3D63"/>
    <w:rsid w:val="00B25660"/>
    <w:rsid w:val="00B46F37"/>
    <w:rsid w:val="00B67081"/>
    <w:rsid w:val="00B94AA6"/>
    <w:rsid w:val="00B97DC3"/>
    <w:rsid w:val="00BA36AC"/>
    <w:rsid w:val="00BA7C8E"/>
    <w:rsid w:val="00BC21FF"/>
    <w:rsid w:val="00BC51B4"/>
    <w:rsid w:val="00BE1475"/>
    <w:rsid w:val="00BF3B3A"/>
    <w:rsid w:val="00BF6D76"/>
    <w:rsid w:val="00C1453D"/>
    <w:rsid w:val="00C22052"/>
    <w:rsid w:val="00C55487"/>
    <w:rsid w:val="00C70C96"/>
    <w:rsid w:val="00C7663C"/>
    <w:rsid w:val="00C77A96"/>
    <w:rsid w:val="00C77F04"/>
    <w:rsid w:val="00CA17DA"/>
    <w:rsid w:val="00CA4B81"/>
    <w:rsid w:val="00CA662E"/>
    <w:rsid w:val="00CB0AD0"/>
    <w:rsid w:val="00CD5723"/>
    <w:rsid w:val="00CE19EC"/>
    <w:rsid w:val="00CE7E13"/>
    <w:rsid w:val="00D156ED"/>
    <w:rsid w:val="00D275D2"/>
    <w:rsid w:val="00D44EBC"/>
    <w:rsid w:val="00D4525B"/>
    <w:rsid w:val="00D50628"/>
    <w:rsid w:val="00D76AB2"/>
    <w:rsid w:val="00D80EDA"/>
    <w:rsid w:val="00DC04FD"/>
    <w:rsid w:val="00DD1201"/>
    <w:rsid w:val="00DE6A84"/>
    <w:rsid w:val="00E00BD7"/>
    <w:rsid w:val="00E06B77"/>
    <w:rsid w:val="00E07149"/>
    <w:rsid w:val="00E11116"/>
    <w:rsid w:val="00E11E4E"/>
    <w:rsid w:val="00E146D2"/>
    <w:rsid w:val="00E2041E"/>
    <w:rsid w:val="00E23604"/>
    <w:rsid w:val="00E242BA"/>
    <w:rsid w:val="00E3047D"/>
    <w:rsid w:val="00E4029E"/>
    <w:rsid w:val="00E5232A"/>
    <w:rsid w:val="00E53E4B"/>
    <w:rsid w:val="00E61C3A"/>
    <w:rsid w:val="00E638F2"/>
    <w:rsid w:val="00E6785D"/>
    <w:rsid w:val="00E84538"/>
    <w:rsid w:val="00E916A8"/>
    <w:rsid w:val="00E930EF"/>
    <w:rsid w:val="00EA21A2"/>
    <w:rsid w:val="00EB6585"/>
    <w:rsid w:val="00EC376A"/>
    <w:rsid w:val="00EE0B30"/>
    <w:rsid w:val="00EE2E66"/>
    <w:rsid w:val="00EF05E2"/>
    <w:rsid w:val="00EF7393"/>
    <w:rsid w:val="00F10B71"/>
    <w:rsid w:val="00F5664A"/>
    <w:rsid w:val="00F9061F"/>
    <w:rsid w:val="00F921FA"/>
    <w:rsid w:val="00FA3EDD"/>
    <w:rsid w:val="00FA4881"/>
    <w:rsid w:val="00FA5E13"/>
    <w:rsid w:val="00FA63C4"/>
    <w:rsid w:val="00FB0D31"/>
    <w:rsid w:val="00FB7563"/>
    <w:rsid w:val="00FC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F56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Название таблицы 2К"/>
    <w:basedOn w:val="a"/>
    <w:autoRedefine/>
    <w:rsid w:val="00B25660"/>
    <w:pPr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995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hyperlink" Target="mailto:analitika@bn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0.19168766937669371"/>
          <c:y val="4.0565025252525345E-2"/>
          <c:w val="0.76749676392545529"/>
          <c:h val="0.825135540495500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0.0</c:formatCode>
                <c:ptCount val="13"/>
                <c:pt idx="0">
                  <c:v>89883.874572861692</c:v>
                </c:pt>
                <c:pt idx="1">
                  <c:v>91146.647153775732</c:v>
                </c:pt>
                <c:pt idx="2">
                  <c:v>91602.138418172573</c:v>
                </c:pt>
                <c:pt idx="3">
                  <c:v>92994.719664218443</c:v>
                </c:pt>
                <c:pt idx="4">
                  <c:v>93896.103710699681</c:v>
                </c:pt>
                <c:pt idx="5">
                  <c:v>94668.658320217102</c:v>
                </c:pt>
                <c:pt idx="6">
                  <c:v>93415.986188663199</c:v>
                </c:pt>
                <c:pt idx="7">
                  <c:v>93282.880155668056</c:v>
                </c:pt>
                <c:pt idx="8">
                  <c:v>93470.708975862028</c:v>
                </c:pt>
                <c:pt idx="9">
                  <c:v>94672.652833892425</c:v>
                </c:pt>
                <c:pt idx="10">
                  <c:v>96732.725643132668</c:v>
                </c:pt>
                <c:pt idx="11">
                  <c:v>96102.142731284723</c:v>
                </c:pt>
                <c:pt idx="12">
                  <c:v>98019.448473237047</c:v>
                </c:pt>
              </c:numCache>
            </c:numRef>
          </c:val>
        </c:ser>
        <c:marker val="1"/>
        <c:axId val="127222144"/>
        <c:axId val="127223680"/>
      </c:lineChart>
      <c:dateAx>
        <c:axId val="127222144"/>
        <c:scaling>
          <c:orientation val="minMax"/>
        </c:scaling>
        <c:axPos val="b"/>
        <c:numFmt formatCode="mmm\ yy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27223680"/>
        <c:crossesAt val="89000"/>
        <c:auto val="1"/>
        <c:lblOffset val="100"/>
        <c:majorUnit val="3"/>
        <c:majorTimeUnit val="months"/>
      </c:dateAx>
      <c:valAx>
        <c:axId val="127223680"/>
        <c:scaling>
          <c:orientation val="minMax"/>
          <c:max val="98600"/>
          <c:min val="89000"/>
        </c:scaling>
        <c:axPos val="l"/>
        <c:numFmt formatCode="#,##0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27222144"/>
        <c:crosses val="autoZero"/>
        <c:crossBetween val="between"/>
        <c:majorUnit val="1600"/>
      </c:valAx>
      <c:spPr>
        <a:noFill/>
      </c:spPr>
    </c:plotArea>
    <c:plotVisOnly val="1"/>
    <c:dispBlanksAs val="gap"/>
  </c:chart>
  <c:txPr>
    <a:bodyPr/>
    <a:lstStyle/>
    <a:p>
      <a:pPr>
        <a:defRPr sz="995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layout/>
    </c:title>
    <c:plotArea>
      <c:layout>
        <c:manualLayout>
          <c:layoutTarget val="inner"/>
          <c:xMode val="edge"/>
          <c:yMode val="edge"/>
          <c:x val="6.8815420956379533E-2"/>
          <c:y val="2.7330248796375477E-2"/>
          <c:w val="0.91803393371897313"/>
          <c:h val="0.583162933000478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5A80AD"/>
            </a:solidFill>
          </c:spPr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4.0909090909090923E-2</c:v>
                </c:pt>
                <c:pt idx="1">
                  <c:v>7.2727272727272724E-2</c:v>
                </c:pt>
                <c:pt idx="2">
                  <c:v>0.11818181818181818</c:v>
                </c:pt>
                <c:pt idx="3">
                  <c:v>7.2727272727272724E-2</c:v>
                </c:pt>
                <c:pt idx="4">
                  <c:v>0.05</c:v>
                </c:pt>
                <c:pt idx="5">
                  <c:v>6.363636363636363E-2</c:v>
                </c:pt>
                <c:pt idx="6">
                  <c:v>6.8181818181818177E-2</c:v>
                </c:pt>
                <c:pt idx="7">
                  <c:v>0.11818181818181818</c:v>
                </c:pt>
                <c:pt idx="8">
                  <c:v>5.9090909090909124E-2</c:v>
                </c:pt>
                <c:pt idx="9">
                  <c:v>9.5454545454545528E-2</c:v>
                </c:pt>
                <c:pt idx="10">
                  <c:v>0.18181818181818202</c:v>
                </c:pt>
                <c:pt idx="11">
                  <c:v>1.8181818181818198E-2</c:v>
                </c:pt>
                <c:pt idx="12">
                  <c:v>4.0909090909090923E-2</c:v>
                </c:pt>
              </c:numCache>
            </c:numRef>
          </c:val>
        </c:ser>
        <c:dLbls>
          <c:showVal val="1"/>
        </c:dLbls>
        <c:axId val="140292480"/>
        <c:axId val="140294016"/>
      </c:barChart>
      <c:catAx>
        <c:axId val="140292480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40294016"/>
        <c:crosses val="autoZero"/>
        <c:auto val="1"/>
        <c:lblAlgn val="ctr"/>
        <c:lblOffset val="100"/>
        <c:tickLblSkip val="1"/>
        <c:tickMarkSkip val="1"/>
      </c:catAx>
      <c:valAx>
        <c:axId val="140294016"/>
        <c:scaling>
          <c:orientation val="minMax"/>
        </c:scaling>
        <c:axPos val="l"/>
        <c:numFmt formatCode="0%" sourceLinked="0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4029248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8515148083050198"/>
          <c:y val="3.5452410049677092E-3"/>
          <c:w val="0.75214407756830537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cat>
            <c:strRef>
              <c:f>Лист1!$A$2:$A$7</c:f>
              <c:strCache>
                <c:ptCount val="6"/>
                <c:pt idx="0">
                  <c:v>&lt;30</c:v>
                </c:pt>
                <c:pt idx="1">
                  <c:v>30-35</c:v>
                </c:pt>
                <c:pt idx="2">
                  <c:v>35-40</c:v>
                </c:pt>
                <c:pt idx="3">
                  <c:v>40-45</c:v>
                </c:pt>
                <c:pt idx="4">
                  <c:v>45-50</c:v>
                </c:pt>
                <c:pt idx="5">
                  <c:v>&gt;50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0.15981735159817381</c:v>
                </c:pt>
                <c:pt idx="1">
                  <c:v>0.20376712328767124</c:v>
                </c:pt>
                <c:pt idx="2">
                  <c:v>0.27796803652968038</c:v>
                </c:pt>
                <c:pt idx="3">
                  <c:v>0.2226027397260274</c:v>
                </c:pt>
                <c:pt idx="4">
                  <c:v>9.5319634703196349E-2</c:v>
                </c:pt>
                <c:pt idx="5">
                  <c:v>4.0525114155251125E-2</c:v>
                </c:pt>
              </c:numCache>
            </c:numRef>
          </c:val>
        </c:ser>
        <c:axId val="139110272"/>
        <c:axId val="139111808"/>
      </c:barChart>
      <c:catAx>
        <c:axId val="13911027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39111808"/>
        <c:crosses val="autoZero"/>
        <c:auto val="1"/>
        <c:lblAlgn val="ctr"/>
        <c:lblOffset val="100"/>
      </c:catAx>
      <c:valAx>
        <c:axId val="139111808"/>
        <c:scaling>
          <c:orientation val="minMax"/>
          <c:max val="0.4"/>
        </c:scaling>
        <c:axPos val="b"/>
        <c:numFmt formatCode="0%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39110272"/>
        <c:crosses val="autoZero"/>
        <c:crossBetween val="between"/>
        <c:majorUnit val="0.1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8515148083050204"/>
          <c:y val="3.5452410049677092E-3"/>
          <c:w val="0.74198439027747165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cat>
            <c:strRef>
              <c:f>Лист1!$A$2:$A$7</c:f>
              <c:strCache>
                <c:ptCount val="6"/>
                <c:pt idx="0">
                  <c:v>&lt;50</c:v>
                </c:pt>
                <c:pt idx="1">
                  <c:v>50-59</c:v>
                </c:pt>
                <c:pt idx="2">
                  <c:v>60-69</c:v>
                </c:pt>
                <c:pt idx="3">
                  <c:v>70-79</c:v>
                </c:pt>
                <c:pt idx="4">
                  <c:v>80-90</c:v>
                </c:pt>
                <c:pt idx="5">
                  <c:v>&gt;90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0.13812154696132597</c:v>
                </c:pt>
                <c:pt idx="1">
                  <c:v>0.37726913970007891</c:v>
                </c:pt>
                <c:pt idx="2">
                  <c:v>0.29360694554064753</c:v>
                </c:pt>
                <c:pt idx="3">
                  <c:v>0.12233622730860311</c:v>
                </c:pt>
                <c:pt idx="4">
                  <c:v>4.2620363062351951E-2</c:v>
                </c:pt>
                <c:pt idx="5">
                  <c:v>2.6045777426992944E-2</c:v>
                </c:pt>
              </c:numCache>
            </c:numRef>
          </c:val>
        </c:ser>
        <c:axId val="127389056"/>
        <c:axId val="138892416"/>
      </c:barChart>
      <c:catAx>
        <c:axId val="1273890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38892416"/>
        <c:crosses val="autoZero"/>
        <c:auto val="1"/>
        <c:lblAlgn val="ctr"/>
        <c:lblOffset val="100"/>
      </c:catAx>
      <c:valAx>
        <c:axId val="138892416"/>
        <c:scaling>
          <c:orientation val="minMax"/>
          <c:max val="0.4"/>
        </c:scaling>
        <c:axPos val="b"/>
        <c:numFmt formatCode="0%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7389056"/>
        <c:crosses val="autoZero"/>
        <c:crossBetween val="between"/>
        <c:majorUnit val="0.1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8515148083050204"/>
          <c:y val="3.5452410049677092E-3"/>
          <c:w val="0.75218327403454865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cat>
            <c:strRef>
              <c:f>Лист1!$A$2:$A$8</c:f>
              <c:strCache>
                <c:ptCount val="7"/>
                <c:pt idx="0">
                  <c:v>&lt;75</c:v>
                </c:pt>
                <c:pt idx="1">
                  <c:v>75-85</c:v>
                </c:pt>
                <c:pt idx="2">
                  <c:v>85-95</c:v>
                </c:pt>
                <c:pt idx="3">
                  <c:v>95-105</c:v>
                </c:pt>
                <c:pt idx="4">
                  <c:v>105-115</c:v>
                </c:pt>
                <c:pt idx="5">
                  <c:v>115-125</c:v>
                </c:pt>
                <c:pt idx="6">
                  <c:v>&gt;125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0.18106508875739677</c:v>
                </c:pt>
                <c:pt idx="1">
                  <c:v>0.31360946745562163</c:v>
                </c:pt>
                <c:pt idx="2">
                  <c:v>0.20355029585798834</c:v>
                </c:pt>
                <c:pt idx="3">
                  <c:v>0.13372781065088757</c:v>
                </c:pt>
                <c:pt idx="4">
                  <c:v>7.5739644970414272E-2</c:v>
                </c:pt>
                <c:pt idx="5">
                  <c:v>4.142011834319527E-2</c:v>
                </c:pt>
                <c:pt idx="6">
                  <c:v>5.0887573964497064E-2</c:v>
                </c:pt>
              </c:numCache>
            </c:numRef>
          </c:val>
        </c:ser>
        <c:axId val="140314112"/>
        <c:axId val="140342016"/>
      </c:barChart>
      <c:catAx>
        <c:axId val="14031411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0342016"/>
        <c:crosses val="autoZero"/>
        <c:auto val="1"/>
        <c:lblAlgn val="ctr"/>
        <c:lblOffset val="100"/>
      </c:catAx>
      <c:valAx>
        <c:axId val="140342016"/>
        <c:scaling>
          <c:orientation val="minMax"/>
        </c:scaling>
        <c:axPos val="b"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031411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>
          <a:latin typeface="PT Sans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8515148083050209"/>
          <c:y val="3.5452410049677092E-3"/>
          <c:w val="0.74198439027747165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cat>
            <c:strRef>
              <c:f>Лист1!$A$2:$A$8</c:f>
              <c:strCache>
                <c:ptCount val="7"/>
                <c:pt idx="0">
                  <c:v>&lt;100</c:v>
                </c:pt>
                <c:pt idx="1">
                  <c:v>100-114</c:v>
                </c:pt>
                <c:pt idx="2">
                  <c:v>115-129</c:v>
                </c:pt>
                <c:pt idx="3">
                  <c:v>130-144</c:v>
                </c:pt>
                <c:pt idx="4">
                  <c:v>145-159</c:v>
                </c:pt>
                <c:pt idx="5">
                  <c:v>160-175</c:v>
                </c:pt>
                <c:pt idx="6">
                  <c:v>&gt;175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0.23899371069182404</c:v>
                </c:pt>
                <c:pt idx="1">
                  <c:v>0.22012578616352202</c:v>
                </c:pt>
                <c:pt idx="2">
                  <c:v>0.19496855345911951</c:v>
                </c:pt>
                <c:pt idx="3">
                  <c:v>4.40251572327044E-2</c:v>
                </c:pt>
                <c:pt idx="4">
                  <c:v>0.16981132075471697</c:v>
                </c:pt>
                <c:pt idx="5">
                  <c:v>5.0314465408805034E-2</c:v>
                </c:pt>
                <c:pt idx="6">
                  <c:v>8.1761006289308172E-2</c:v>
                </c:pt>
              </c:numCache>
            </c:numRef>
          </c:val>
        </c:ser>
        <c:axId val="126712832"/>
        <c:axId val="126726528"/>
      </c:barChart>
      <c:catAx>
        <c:axId val="12671283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6726528"/>
        <c:crosses val="autoZero"/>
        <c:auto val="1"/>
        <c:lblAlgn val="ctr"/>
        <c:lblOffset val="100"/>
      </c:catAx>
      <c:valAx>
        <c:axId val="126726528"/>
        <c:scaling>
          <c:orientation val="minMax"/>
          <c:max val="0.4"/>
        </c:scaling>
        <c:axPos val="b"/>
        <c:numFmt formatCode="0%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671283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0.0</c:formatCode>
                <c:ptCount val="13"/>
                <c:pt idx="0">
                  <c:v>89307.236355480345</c:v>
                </c:pt>
                <c:pt idx="1">
                  <c:v>90420.447796425971</c:v>
                </c:pt>
                <c:pt idx="2">
                  <c:v>90491.0841987983</c:v>
                </c:pt>
                <c:pt idx="3">
                  <c:v>92972.820717161783</c:v>
                </c:pt>
                <c:pt idx="4">
                  <c:v>93816.094822633459</c:v>
                </c:pt>
                <c:pt idx="5">
                  <c:v>94473.633297343928</c:v>
                </c:pt>
                <c:pt idx="6">
                  <c:v>93006.670868765781</c:v>
                </c:pt>
                <c:pt idx="7">
                  <c:v>91931.672316404278</c:v>
                </c:pt>
                <c:pt idx="8">
                  <c:v>92771.221639275042</c:v>
                </c:pt>
                <c:pt idx="9">
                  <c:v>93712.803518015571</c:v>
                </c:pt>
                <c:pt idx="10">
                  <c:v>95204.562492068522</c:v>
                </c:pt>
                <c:pt idx="11">
                  <c:v>94681.844241638129</c:v>
                </c:pt>
                <c:pt idx="12">
                  <c:v>97007.015018588587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5A80AD">
                  <a:alpha val="7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Лист1!$C$2:$C$14</c:f>
              <c:numCache>
                <c:formatCode>0.0</c:formatCode>
                <c:ptCount val="13"/>
                <c:pt idx="0">
                  <c:v>88692.54831851316</c:v>
                </c:pt>
                <c:pt idx="1">
                  <c:v>88679.452796459431</c:v>
                </c:pt>
                <c:pt idx="2">
                  <c:v>89490.508284111813</c:v>
                </c:pt>
                <c:pt idx="3">
                  <c:v>90316.033492460789</c:v>
                </c:pt>
                <c:pt idx="4">
                  <c:v>91407.748970342218</c:v>
                </c:pt>
                <c:pt idx="5">
                  <c:v>92033.666956426998</c:v>
                </c:pt>
                <c:pt idx="6">
                  <c:v>90735.071473102158</c:v>
                </c:pt>
                <c:pt idx="7">
                  <c:v>90310.083897284188</c:v>
                </c:pt>
                <c:pt idx="8">
                  <c:v>91575.516030939514</c:v>
                </c:pt>
                <c:pt idx="9">
                  <c:v>92952.206464266448</c:v>
                </c:pt>
                <c:pt idx="10">
                  <c:v>95005.60669750243</c:v>
                </c:pt>
                <c:pt idx="11">
                  <c:v>94430.837975140399</c:v>
                </c:pt>
                <c:pt idx="12">
                  <c:v>95822.685059632786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Лист1!$D$2:$D$14</c:f>
              <c:numCache>
                <c:formatCode>0.0</c:formatCode>
                <c:ptCount val="13"/>
                <c:pt idx="0">
                  <c:v>88653.287616330461</c:v>
                </c:pt>
                <c:pt idx="1">
                  <c:v>91714.125639974387</c:v>
                </c:pt>
                <c:pt idx="2">
                  <c:v>92075.703248311707</c:v>
                </c:pt>
                <c:pt idx="3">
                  <c:v>92588.047753869818</c:v>
                </c:pt>
                <c:pt idx="4">
                  <c:v>93164.536523595612</c:v>
                </c:pt>
                <c:pt idx="5">
                  <c:v>94082.922102047101</c:v>
                </c:pt>
                <c:pt idx="6">
                  <c:v>94735.164555431402</c:v>
                </c:pt>
                <c:pt idx="7">
                  <c:v>94743.377705609542</c:v>
                </c:pt>
                <c:pt idx="8">
                  <c:v>92874.965442598026</c:v>
                </c:pt>
                <c:pt idx="9">
                  <c:v>94988.102579310507</c:v>
                </c:pt>
                <c:pt idx="10">
                  <c:v>97239.578422948951</c:v>
                </c:pt>
                <c:pt idx="11">
                  <c:v>96034.585889855793</c:v>
                </c:pt>
                <c:pt idx="12">
                  <c:v>98682.54822516111</c:v>
                </c:pt>
              </c:numCache>
            </c:numRef>
          </c:val>
        </c:ser>
        <c:marker val="1"/>
        <c:axId val="125092608"/>
        <c:axId val="125094144"/>
      </c:lineChart>
      <c:dateAx>
        <c:axId val="125092608"/>
        <c:scaling>
          <c:orientation val="minMax"/>
        </c:scaling>
        <c:axPos val="b"/>
        <c:numFmt formatCode="mmm\ yy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5094144"/>
        <c:crossesAt val="86000"/>
        <c:auto val="1"/>
        <c:lblOffset val="100"/>
        <c:majorUnit val="3"/>
        <c:majorTimeUnit val="months"/>
      </c:dateAx>
      <c:valAx>
        <c:axId val="125094144"/>
        <c:scaling>
          <c:orientation val="minMax"/>
          <c:max val="100000"/>
          <c:min val="86000"/>
        </c:scaling>
        <c:axPos val="l"/>
        <c:numFmt formatCode="#,##0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5092608"/>
        <c:crosses val="autoZero"/>
        <c:crossBetween val="between"/>
        <c:majorUnit val="3500"/>
      </c:valAx>
      <c:spPr>
        <a:noFill/>
      </c:spPr>
    </c:plotArea>
    <c:legend>
      <c:legendPos val="r"/>
      <c:layout>
        <c:manualLayout>
          <c:xMode val="edge"/>
          <c:yMode val="edge"/>
          <c:x val="0.26994017639687085"/>
          <c:y val="0.71750061629036765"/>
          <c:w val="0.68555642256429661"/>
          <c:h val="0.11235335914502351"/>
        </c:manualLayout>
      </c:layout>
      <c:txPr>
        <a:bodyPr/>
        <a:lstStyle/>
        <a:p>
          <a:pPr>
            <a:defRPr sz="800" b="0">
              <a:latin typeface="PT San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5"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Панель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0.0</c:formatCode>
                <c:ptCount val="13"/>
                <c:pt idx="0">
                  <c:v>72730.27475069309</c:v>
                </c:pt>
                <c:pt idx="1">
                  <c:v>73873.644635103003</c:v>
                </c:pt>
                <c:pt idx="2">
                  <c:v>76401.602214660103</c:v>
                </c:pt>
                <c:pt idx="3">
                  <c:v>82021.285402689493</c:v>
                </c:pt>
                <c:pt idx="4">
                  <c:v>82644.763276045502</c:v>
                </c:pt>
                <c:pt idx="5">
                  <c:v>84090.429349362399</c:v>
                </c:pt>
                <c:pt idx="6">
                  <c:v>86270.839581802808</c:v>
                </c:pt>
                <c:pt idx="7">
                  <c:v>87141.312576182027</c:v>
                </c:pt>
                <c:pt idx="8">
                  <c:v>87537.198378396468</c:v>
                </c:pt>
                <c:pt idx="9">
                  <c:v>84065.824341619038</c:v>
                </c:pt>
                <c:pt idx="10">
                  <c:v>87042.756915257138</c:v>
                </c:pt>
                <c:pt idx="11">
                  <c:v>85341.037224896994</c:v>
                </c:pt>
                <c:pt idx="12">
                  <c:v>88440.788293846912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Кирпич/монолит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2"/>
          <c:order val="2"/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Лист1!$C$2:$C$14</c:f>
              <c:numCache>
                <c:formatCode>0.0</c:formatCode>
                <c:ptCount val="13"/>
                <c:pt idx="0">
                  <c:v>90783.059370073388</c:v>
                </c:pt>
                <c:pt idx="1">
                  <c:v>92025.908150531555</c:v>
                </c:pt>
                <c:pt idx="2">
                  <c:v>92526.077786715483</c:v>
                </c:pt>
                <c:pt idx="3">
                  <c:v>93268.460668279018</c:v>
                </c:pt>
                <c:pt idx="4">
                  <c:v>94315.700852563401</c:v>
                </c:pt>
                <c:pt idx="5">
                  <c:v>94178.205252612432</c:v>
                </c:pt>
                <c:pt idx="6">
                  <c:v>93341.119843941924</c:v>
                </c:pt>
                <c:pt idx="7">
                  <c:v>93107.623881418578</c:v>
                </c:pt>
                <c:pt idx="8">
                  <c:v>93463.475892819013</c:v>
                </c:pt>
                <c:pt idx="9">
                  <c:v>95579.087767814155</c:v>
                </c:pt>
                <c:pt idx="10">
                  <c:v>97217.852707758357</c:v>
                </c:pt>
                <c:pt idx="11">
                  <c:v>96854.638193147446</c:v>
                </c:pt>
                <c:pt idx="12">
                  <c:v>98670.449207442929</c:v>
                </c:pt>
              </c:numCache>
            </c:numRef>
          </c:val>
        </c:ser>
        <c:marker val="1"/>
        <c:axId val="125099008"/>
        <c:axId val="125163008"/>
      </c:lineChart>
      <c:dateAx>
        <c:axId val="125099008"/>
        <c:scaling>
          <c:orientation val="minMax"/>
        </c:scaling>
        <c:axPos val="b"/>
        <c:numFmt formatCode="mmm\ yy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5163008"/>
        <c:crossesAt val="65000"/>
        <c:auto val="1"/>
        <c:lblOffset val="100"/>
        <c:majorUnit val="3"/>
        <c:majorTimeUnit val="months"/>
      </c:dateAx>
      <c:valAx>
        <c:axId val="125163008"/>
        <c:scaling>
          <c:orientation val="minMax"/>
          <c:max val="105000"/>
          <c:min val="65000"/>
        </c:scaling>
        <c:axPos val="l"/>
        <c:numFmt formatCode="#,##0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5099008"/>
        <c:crosses val="autoZero"/>
        <c:crossBetween val="between"/>
        <c:majorUnit val="10000"/>
      </c:valAx>
      <c:spPr>
        <a:noFill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33807634406059739"/>
          <c:y val="0.62872638157799332"/>
          <c:w val="0.4533869302373254"/>
          <c:h val="0.20856194080712437"/>
        </c:manualLayout>
      </c:layout>
      <c:txPr>
        <a:bodyPr/>
        <a:lstStyle/>
        <a:p>
          <a:pPr>
            <a:defRPr sz="800" b="0">
              <a:latin typeface="PT San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5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3434433211125502"/>
          <c:y val="4.32379735584935E-2"/>
          <c:w val="0.82324679973830051"/>
          <c:h val="0.823217097862747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  <a:ln>
              <a:solidFill>
                <a:srgbClr val="5A80AD"/>
              </a:solidFill>
            </a:ln>
          </c:spP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-4.732931977688537E-3</c:v>
                </c:pt>
                <c:pt idx="1">
                  <c:v>1.404893354803516E-2</c:v>
                </c:pt>
                <c:pt idx="2">
                  <c:v>4.9973452520790706E-3</c:v>
                </c:pt>
                <c:pt idx="3">
                  <c:v>1.52024971260889E-2</c:v>
                </c:pt>
                <c:pt idx="4">
                  <c:v>9.6928519139143458E-3</c:v>
                </c:pt>
                <c:pt idx="5">
                  <c:v>8.2277600346192248E-3</c:v>
                </c:pt>
                <c:pt idx="6">
                  <c:v>-1.323217370755027E-2</c:v>
                </c:pt>
                <c:pt idx="7">
                  <c:v>-1.4248742471800735E-3</c:v>
                </c:pt>
                <c:pt idx="8">
                  <c:v>2.0135401038288148E-3</c:v>
                </c:pt>
                <c:pt idx="9">
                  <c:v>1.2859042915153156E-2</c:v>
                </c:pt>
                <c:pt idx="10">
                  <c:v>2.1759956519383152E-2</c:v>
                </c:pt>
                <c:pt idx="11">
                  <c:v>-6.5188167464055305E-3</c:v>
                </c:pt>
                <c:pt idx="12">
                  <c:v>1.9950707522863338E-2</c:v>
                </c:pt>
              </c:numCache>
            </c:numRef>
          </c:val>
        </c:ser>
        <c:axId val="69863680"/>
        <c:axId val="124929152"/>
      </c:barChart>
      <c:dateAx>
        <c:axId val="69863680"/>
        <c:scaling>
          <c:orientation val="minMax"/>
        </c:scaling>
        <c:axPos val="b"/>
        <c:numFmt formatCode="mmm\ yy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4929152"/>
        <c:crosses val="autoZero"/>
        <c:auto val="1"/>
        <c:lblOffset val="100"/>
        <c:majorUnit val="3"/>
        <c:majorTimeUnit val="months"/>
      </c:dateAx>
      <c:valAx>
        <c:axId val="124929152"/>
        <c:scaling>
          <c:orientation val="minMax"/>
        </c:scaling>
        <c:axPos val="l"/>
        <c:numFmt formatCode="0.0%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986368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16466802168022"/>
          <c:y val="0"/>
          <c:w val="0.7479584803869147"/>
          <c:h val="0.8824385195334224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cat>
            <c:strRef>
              <c:f>Лист1!$A$2:$A$10</c:f>
              <c:strCache>
                <c:ptCount val="9"/>
                <c:pt idx="0">
                  <c:v>&lt;60</c:v>
                </c:pt>
                <c:pt idx="1">
                  <c:v>60-70</c:v>
                </c:pt>
                <c:pt idx="2">
                  <c:v>70-80</c:v>
                </c:pt>
                <c:pt idx="3">
                  <c:v>80-90</c:v>
                </c:pt>
                <c:pt idx="4">
                  <c:v>90-100</c:v>
                </c:pt>
                <c:pt idx="5">
                  <c:v>100-110</c:v>
                </c:pt>
                <c:pt idx="6">
                  <c:v>110-120</c:v>
                </c:pt>
                <c:pt idx="7">
                  <c:v>120-130</c:v>
                </c:pt>
                <c:pt idx="8">
                  <c:v>&gt;130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3.9025602783992051E-2</c:v>
                </c:pt>
                <c:pt idx="1">
                  <c:v>8.6751180710912257E-2</c:v>
                </c:pt>
                <c:pt idx="2">
                  <c:v>0.1496395724583644</c:v>
                </c:pt>
                <c:pt idx="3">
                  <c:v>0.18145662440964455</c:v>
                </c:pt>
                <c:pt idx="4">
                  <c:v>0.16057668406661688</c:v>
                </c:pt>
                <c:pt idx="5">
                  <c:v>0.11508824260502111</c:v>
                </c:pt>
                <c:pt idx="6">
                  <c:v>7.4819786229182283E-2</c:v>
                </c:pt>
                <c:pt idx="7">
                  <c:v>6.1894108873974653E-2</c:v>
                </c:pt>
                <c:pt idx="8">
                  <c:v>0.13074819786229222</c:v>
                </c:pt>
              </c:numCache>
            </c:numRef>
          </c:val>
        </c:ser>
        <c:axId val="61549568"/>
        <c:axId val="61551360"/>
      </c:barChart>
      <c:catAx>
        <c:axId val="615495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1551360"/>
        <c:crosses val="autoZero"/>
        <c:auto val="1"/>
        <c:lblAlgn val="ctr"/>
        <c:lblOffset val="100"/>
      </c:catAx>
      <c:valAx>
        <c:axId val="61551360"/>
        <c:scaling>
          <c:orientation val="minMax"/>
        </c:scaling>
        <c:axPos val="b"/>
        <c:numFmt formatCode="0%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154956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7.4666024963314134E-2"/>
          <c:y val="2.974069875506807E-2"/>
          <c:w val="0.92533397503668757"/>
          <c:h val="0.871780793937722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сданные</c:v>
                </c:pt>
              </c:strCache>
            </c:strRef>
          </c:tx>
          <c:spPr>
            <a:solidFill>
              <a:srgbClr val="5A80AD"/>
            </a:solidFill>
          </c:spP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0.25291828793774379</c:v>
                </c:pt>
                <c:pt idx="1">
                  <c:v>0.25291828793774379</c:v>
                </c:pt>
                <c:pt idx="2">
                  <c:v>0.26022304832713727</c:v>
                </c:pt>
                <c:pt idx="3">
                  <c:v>0.24372759856630846</c:v>
                </c:pt>
                <c:pt idx="4">
                  <c:v>0.24475524475524499</c:v>
                </c:pt>
                <c:pt idx="5">
                  <c:v>0.20430107526881708</c:v>
                </c:pt>
                <c:pt idx="6">
                  <c:v>0.21126760563380281</c:v>
                </c:pt>
                <c:pt idx="7">
                  <c:v>0.23103448275862087</c:v>
                </c:pt>
                <c:pt idx="8">
                  <c:v>0.21034482758620704</c:v>
                </c:pt>
                <c:pt idx="9">
                  <c:v>0.21034482758620704</c:v>
                </c:pt>
                <c:pt idx="10">
                  <c:v>0.21843003412969311</c:v>
                </c:pt>
                <c:pt idx="11">
                  <c:v>0.20134228187919495</c:v>
                </c:pt>
                <c:pt idx="12">
                  <c:v>0.2062937062937063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сданные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8.5603112840466927E-2</c:v>
                </c:pt>
                <c:pt idx="1">
                  <c:v>8.5603112840466927E-2</c:v>
                </c:pt>
                <c:pt idx="2">
                  <c:v>9.6654275092936975E-2</c:v>
                </c:pt>
                <c:pt idx="3">
                  <c:v>8.9605734767025144E-2</c:v>
                </c:pt>
                <c:pt idx="4">
                  <c:v>8.3916083916084031E-2</c:v>
                </c:pt>
                <c:pt idx="5">
                  <c:v>8.9605734767025144E-2</c:v>
                </c:pt>
                <c:pt idx="6">
                  <c:v>8.450704225352125E-2</c:v>
                </c:pt>
                <c:pt idx="7">
                  <c:v>7.9310344827586338E-2</c:v>
                </c:pt>
                <c:pt idx="8">
                  <c:v>8.9655172413793283E-2</c:v>
                </c:pt>
                <c:pt idx="9">
                  <c:v>8.9655172413793283E-2</c:v>
                </c:pt>
                <c:pt idx="10">
                  <c:v>7.8498293515358433E-2</c:v>
                </c:pt>
                <c:pt idx="11">
                  <c:v>8.3892617449664447E-2</c:v>
                </c:pt>
                <c:pt idx="12">
                  <c:v>8.3916083916084031E-2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0.66147859922179042</c:v>
                </c:pt>
                <c:pt idx="1">
                  <c:v>0.66147859922179042</c:v>
                </c:pt>
                <c:pt idx="2">
                  <c:v>0.64312267657992628</c:v>
                </c:pt>
                <c:pt idx="3">
                  <c:v>0.66666666666666663</c:v>
                </c:pt>
                <c:pt idx="4">
                  <c:v>0.67132867132867269</c:v>
                </c:pt>
                <c:pt idx="5">
                  <c:v>0.70609318996415749</c:v>
                </c:pt>
                <c:pt idx="6">
                  <c:v>0.70422535211267656</c:v>
                </c:pt>
                <c:pt idx="7">
                  <c:v>0.68965517241379437</c:v>
                </c:pt>
                <c:pt idx="8">
                  <c:v>0.70000000000000051</c:v>
                </c:pt>
                <c:pt idx="9">
                  <c:v>0.70000000000000051</c:v>
                </c:pt>
                <c:pt idx="10">
                  <c:v>0.70307167235494961</c:v>
                </c:pt>
                <c:pt idx="11">
                  <c:v>0.71476510067114152</c:v>
                </c:pt>
                <c:pt idx="12">
                  <c:v>0.70979020979020979</c:v>
                </c:pt>
              </c:numCache>
            </c:numRef>
          </c:val>
        </c:ser>
        <c:axId val="75074944"/>
        <c:axId val="75077888"/>
      </c:barChart>
      <c:dateAx>
        <c:axId val="75074944"/>
        <c:scaling>
          <c:orientation val="minMax"/>
        </c:scaling>
        <c:axPos val="b"/>
        <c:numFmt formatCode="mmm\ yy" sourceLinked="0"/>
        <c:maj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75077888"/>
        <c:crosses val="autoZero"/>
        <c:auto val="1"/>
        <c:lblOffset val="100"/>
      </c:dateAx>
      <c:valAx>
        <c:axId val="75077888"/>
        <c:scaling>
          <c:orientation val="minMax"/>
          <c:max val="0.8"/>
        </c:scaling>
        <c:axPos val="l"/>
        <c:numFmt formatCode="0%" sourceLinked="0"/>
        <c:maj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75074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4721409823772035"/>
          <c:y val="0"/>
          <c:w val="0.5511601372409094"/>
          <c:h val="0.1027050925925926"/>
        </c:manualLayout>
      </c:layout>
      <c:txPr>
        <a:bodyPr/>
        <a:lstStyle/>
        <a:p>
          <a:pPr>
            <a:defRPr sz="800" baseline="0">
              <a:latin typeface="PT San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375788272203442"/>
          <c:y val="3.6711490226844362E-3"/>
          <c:w val="0.81341381965311665"/>
          <c:h val="0.8805535017181995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cat>
            <c:strRef>
              <c:f>Лист1!$A$2:$A$10</c:f>
              <c:strCache>
                <c:ptCount val="9"/>
                <c:pt idx="0">
                  <c:v>сданы</c:v>
                </c:pt>
                <c:pt idx="1">
                  <c:v>2 полуг. 2014</c:v>
                </c:pt>
                <c:pt idx="2">
                  <c:v>1 полуг. 2015</c:v>
                </c:pt>
                <c:pt idx="3">
                  <c:v>2 полуг. 2015</c:v>
                </c:pt>
                <c:pt idx="4">
                  <c:v>1 полуг. 2016</c:v>
                </c:pt>
                <c:pt idx="5">
                  <c:v>2 полуг. 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0.29020979020979032</c:v>
                </c:pt>
                <c:pt idx="1">
                  <c:v>8.3916083916084031E-2</c:v>
                </c:pt>
                <c:pt idx="2">
                  <c:v>0.13286713286713314</c:v>
                </c:pt>
                <c:pt idx="3">
                  <c:v>0.23076923076923106</c:v>
                </c:pt>
                <c:pt idx="4">
                  <c:v>8.3916083916084031E-2</c:v>
                </c:pt>
                <c:pt idx="5">
                  <c:v>0.10489510489510492</c:v>
                </c:pt>
                <c:pt idx="6">
                  <c:v>5.944055944055944E-2</c:v>
                </c:pt>
                <c:pt idx="7">
                  <c:v>1.0489510489510502E-2</c:v>
                </c:pt>
                <c:pt idx="8">
                  <c:v>3.4965034965034982E-3</c:v>
                </c:pt>
              </c:numCache>
            </c:numRef>
          </c:val>
        </c:ser>
        <c:axId val="99363456"/>
        <c:axId val="124981248"/>
      </c:barChart>
      <c:catAx>
        <c:axId val="993634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4981248"/>
        <c:crosses val="autoZero"/>
        <c:auto val="1"/>
        <c:lblAlgn val="ctr"/>
        <c:lblOffset val="100"/>
      </c:catAx>
      <c:valAx>
        <c:axId val="124981248"/>
        <c:scaling>
          <c:orientation val="minMax"/>
        </c:scaling>
        <c:axPos val="b"/>
        <c:numFmt formatCode="0%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99363456"/>
        <c:crosses val="autoZero"/>
        <c:crossBetween val="between"/>
        <c:majorUnit val="0.05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7.4666024963314134E-2"/>
          <c:y val="2.974069875506807E-2"/>
          <c:w val="0.92533397503668757"/>
          <c:h val="0.871780793937722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бизнес</c:v>
                </c:pt>
              </c:strCache>
            </c:strRef>
          </c:tx>
          <c:spPr>
            <a:solidFill>
              <a:srgbClr val="5A80AD"/>
            </a:solidFill>
          </c:spP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0.12918660287081338</c:v>
                </c:pt>
                <c:pt idx="1">
                  <c:v>0.12918660287081338</c:v>
                </c:pt>
                <c:pt idx="2">
                  <c:v>0.13942307692307687</c:v>
                </c:pt>
                <c:pt idx="3">
                  <c:v>0.14761904761904771</c:v>
                </c:pt>
                <c:pt idx="4">
                  <c:v>0.15094339622641537</c:v>
                </c:pt>
                <c:pt idx="5">
                  <c:v>0.14883720930232586</c:v>
                </c:pt>
                <c:pt idx="6">
                  <c:v>0.1545893719806764</c:v>
                </c:pt>
                <c:pt idx="7">
                  <c:v>0.15094339622641537</c:v>
                </c:pt>
                <c:pt idx="8">
                  <c:v>0.15668202764976957</c:v>
                </c:pt>
                <c:pt idx="9">
                  <c:v>0.15668202764976957</c:v>
                </c:pt>
                <c:pt idx="10">
                  <c:v>0.17209302325581388</c:v>
                </c:pt>
                <c:pt idx="11">
                  <c:v>0.17040358744394621</c:v>
                </c:pt>
                <c:pt idx="12">
                  <c:v>0.17272727272727287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комфорт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0.30622009569378017</c:v>
                </c:pt>
                <c:pt idx="1">
                  <c:v>0.30622009569378017</c:v>
                </c:pt>
                <c:pt idx="2">
                  <c:v>0.30288461538461636</c:v>
                </c:pt>
                <c:pt idx="3">
                  <c:v>0.2904761904761905</c:v>
                </c:pt>
                <c:pt idx="4">
                  <c:v>0.29245283018867957</c:v>
                </c:pt>
                <c:pt idx="5">
                  <c:v>0.29767441860465166</c:v>
                </c:pt>
                <c:pt idx="6">
                  <c:v>0.29468599033816456</c:v>
                </c:pt>
                <c:pt idx="7">
                  <c:v>0.29716981132075515</c:v>
                </c:pt>
                <c:pt idx="8">
                  <c:v>0.30414746543778831</c:v>
                </c:pt>
                <c:pt idx="9">
                  <c:v>0.30414746543778831</c:v>
                </c:pt>
                <c:pt idx="10">
                  <c:v>0.3023255813953496</c:v>
                </c:pt>
                <c:pt idx="11">
                  <c:v>0.30493273542600896</c:v>
                </c:pt>
                <c:pt idx="12">
                  <c:v>0.32272727272727314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0.56459330143540654</c:v>
                </c:pt>
                <c:pt idx="1">
                  <c:v>0.56459330143540654</c:v>
                </c:pt>
                <c:pt idx="2">
                  <c:v>0.55769230769230771</c:v>
                </c:pt>
                <c:pt idx="3">
                  <c:v>0.56190476190476157</c:v>
                </c:pt>
                <c:pt idx="4">
                  <c:v>0.55660377358490565</c:v>
                </c:pt>
                <c:pt idx="5">
                  <c:v>0.5534883720930236</c:v>
                </c:pt>
                <c:pt idx="6">
                  <c:v>0.55072463768116042</c:v>
                </c:pt>
                <c:pt idx="7">
                  <c:v>0.55188679245283023</c:v>
                </c:pt>
                <c:pt idx="8">
                  <c:v>0.53917050691244239</c:v>
                </c:pt>
                <c:pt idx="9">
                  <c:v>0.53917050691244239</c:v>
                </c:pt>
                <c:pt idx="10">
                  <c:v>0.52558139534883719</c:v>
                </c:pt>
                <c:pt idx="11">
                  <c:v>0.5246636771300448</c:v>
                </c:pt>
                <c:pt idx="12">
                  <c:v>0.50454545454545463</c:v>
                </c:pt>
              </c:numCache>
            </c:numRef>
          </c:val>
        </c:ser>
        <c:axId val="68728704"/>
        <c:axId val="69851776"/>
      </c:barChart>
      <c:dateAx>
        <c:axId val="68728704"/>
        <c:scaling>
          <c:orientation val="minMax"/>
        </c:scaling>
        <c:axPos val="b"/>
        <c:numFmt formatCode="mmm\ yy" sourceLinked="0"/>
        <c:maj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9851776"/>
        <c:crosses val="autoZero"/>
        <c:auto val="1"/>
        <c:lblOffset val="100"/>
      </c:dateAx>
      <c:valAx>
        <c:axId val="69851776"/>
        <c:scaling>
          <c:orientation val="minMax"/>
          <c:max val="0.8"/>
        </c:scaling>
        <c:axPos val="l"/>
        <c:numFmt formatCode="0%" sourceLinked="0"/>
        <c:maj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8728704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35196133207070707"/>
          <c:y val="6.4675925925925928E-2"/>
          <c:w val="0.34439221693033056"/>
          <c:h val="0.10233703703703698"/>
        </c:manualLayout>
      </c:layout>
      <c:txPr>
        <a:bodyPr/>
        <a:lstStyle/>
        <a:p>
          <a:pPr>
            <a:defRPr sz="800">
              <a:latin typeface="PT San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бизнес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171850.65923808501</c:v>
                </c:pt>
                <c:pt idx="1">
                  <c:v>169501.639283289</c:v>
                </c:pt>
                <c:pt idx="2">
                  <c:v>167427.96711986611</c:v>
                </c:pt>
                <c:pt idx="3">
                  <c:v>166577.60570027001</c:v>
                </c:pt>
                <c:pt idx="4">
                  <c:v>167038.53997782699</c:v>
                </c:pt>
                <c:pt idx="5">
                  <c:v>166577.98648772377</c:v>
                </c:pt>
                <c:pt idx="6">
                  <c:v>173638.9310969247</c:v>
                </c:pt>
                <c:pt idx="7">
                  <c:v>172053.83699337183</c:v>
                </c:pt>
                <c:pt idx="8">
                  <c:v>167232.97245651201</c:v>
                </c:pt>
                <c:pt idx="9">
                  <c:v>164660.61981033804</c:v>
                </c:pt>
                <c:pt idx="10">
                  <c:v>165819.87852246998</c:v>
                </c:pt>
                <c:pt idx="11">
                  <c:v>171820.530153664</c:v>
                </c:pt>
                <c:pt idx="12">
                  <c:v>167710.02610443998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комфорт</c:v>
                </c:pt>
              </c:strCache>
            </c:strRef>
          </c:tx>
          <c:spPr>
            <a:ln>
              <a:solidFill>
                <a:srgbClr val="5A80AD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Лист1!$C$2:$C$14</c:f>
              <c:numCache>
                <c:formatCode>#,##0</c:formatCode>
                <c:ptCount val="13"/>
                <c:pt idx="0">
                  <c:v>113362.48931441702</c:v>
                </c:pt>
                <c:pt idx="1">
                  <c:v>113023.02933604602</c:v>
                </c:pt>
                <c:pt idx="2">
                  <c:v>113268.778270065</c:v>
                </c:pt>
                <c:pt idx="3">
                  <c:v>111969.18440154305</c:v>
                </c:pt>
                <c:pt idx="4">
                  <c:v>112614.758696506</c:v>
                </c:pt>
                <c:pt idx="5">
                  <c:v>113526.702172675</c:v>
                </c:pt>
                <c:pt idx="6">
                  <c:v>113547.67257281599</c:v>
                </c:pt>
                <c:pt idx="7">
                  <c:v>112864.79333952493</c:v>
                </c:pt>
                <c:pt idx="8">
                  <c:v>110817.05398857901</c:v>
                </c:pt>
                <c:pt idx="9">
                  <c:v>110297.84658486993</c:v>
                </c:pt>
                <c:pt idx="10">
                  <c:v>112446.26744736097</c:v>
                </c:pt>
                <c:pt idx="11">
                  <c:v>110907.224955137</c:v>
                </c:pt>
                <c:pt idx="12">
                  <c:v>109978.775433779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</c:v>
                </c:pt>
              </c:strCache>
            </c:strRef>
          </c:tx>
          <c:spPr>
            <a:ln>
              <a:solidFill>
                <a:srgbClr val="5A80AD">
                  <a:alpha val="2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Лист1!$D$2:$D$14</c:f>
              <c:numCache>
                <c:formatCode>#,##0</c:formatCode>
                <c:ptCount val="13"/>
                <c:pt idx="0">
                  <c:v>78468.582926177303</c:v>
                </c:pt>
                <c:pt idx="1">
                  <c:v>78800.473472932805</c:v>
                </c:pt>
                <c:pt idx="2">
                  <c:v>78556.088055154803</c:v>
                </c:pt>
                <c:pt idx="3">
                  <c:v>80327.717464906105</c:v>
                </c:pt>
                <c:pt idx="4">
                  <c:v>82301.439629294502</c:v>
                </c:pt>
                <c:pt idx="5">
                  <c:v>81678.725963340607</c:v>
                </c:pt>
                <c:pt idx="6">
                  <c:v>82190.235386480097</c:v>
                </c:pt>
                <c:pt idx="7">
                  <c:v>81783.018391615391</c:v>
                </c:pt>
                <c:pt idx="8">
                  <c:v>81702.101368140415</c:v>
                </c:pt>
                <c:pt idx="9">
                  <c:v>82467.247612181905</c:v>
                </c:pt>
                <c:pt idx="10">
                  <c:v>83727.920629463668</c:v>
                </c:pt>
                <c:pt idx="11">
                  <c:v>84593.923558076014</c:v>
                </c:pt>
                <c:pt idx="12">
                  <c:v>85921.399615889022</c:v>
                </c:pt>
              </c:numCache>
            </c:numRef>
          </c:val>
        </c:ser>
        <c:marker val="1"/>
        <c:axId val="62171008"/>
        <c:axId val="62172544"/>
      </c:lineChart>
      <c:dateAx>
        <c:axId val="62171008"/>
        <c:scaling>
          <c:orientation val="minMax"/>
        </c:scaling>
        <c:axPos val="b"/>
        <c:numFmt formatCode="mmm\ yy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2172544"/>
        <c:crossesAt val="50000"/>
        <c:auto val="1"/>
        <c:lblOffset val="100"/>
        <c:majorUnit val="3"/>
        <c:majorTimeUnit val="months"/>
      </c:dateAx>
      <c:valAx>
        <c:axId val="62172544"/>
        <c:scaling>
          <c:orientation val="minMax"/>
          <c:max val="230000"/>
          <c:min val="50000"/>
        </c:scaling>
        <c:axPos val="l"/>
        <c:numFmt formatCode="#,##0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2171008"/>
        <c:crosses val="autoZero"/>
        <c:crossBetween val="between"/>
        <c:majorUnit val="30000"/>
        <c:minorUnit val="5000"/>
      </c:valAx>
      <c:spPr>
        <a:noFill/>
      </c:spPr>
    </c:plotArea>
    <c:legend>
      <c:legendPos val="r"/>
      <c:layout>
        <c:manualLayout>
          <c:xMode val="edge"/>
          <c:yMode val="edge"/>
          <c:x val="0.24200508130081341"/>
          <c:y val="4.4672595223194153E-2"/>
          <c:w val="0.70559630496638359"/>
          <c:h val="0.12714084772552581"/>
        </c:manualLayout>
      </c:layout>
      <c:txPr>
        <a:bodyPr/>
        <a:lstStyle/>
        <a:p>
          <a:pPr>
            <a:defRPr sz="800" b="0">
              <a:latin typeface="PT San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5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39225438322416795"/>
          <c:y val="3.6711490226844432E-3"/>
          <c:w val="0.53014667090092349"/>
          <c:h val="0.8594586183147060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cat>
            <c:strRef>
              <c:f>Лист1!$A$2:$A$7</c:f>
              <c:strCache>
                <c:ptCount val="6"/>
                <c:pt idx="0">
                  <c:v>Кирпич</c:v>
                </c:pt>
                <c:pt idx="1">
                  <c:v>Кирпич / Монолит</c:v>
                </c:pt>
                <c:pt idx="2">
                  <c:v>Малоэтаж. стр-во</c:v>
                </c:pt>
                <c:pt idx="3">
                  <c:v>Монолит</c:v>
                </c:pt>
                <c:pt idx="4">
                  <c:v>Панель</c:v>
                </c:pt>
                <c:pt idx="5">
                  <c:v>Смешанный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3.7383177570093525E-2</c:v>
                </c:pt>
                <c:pt idx="1">
                  <c:v>0.65420560747663614</c:v>
                </c:pt>
                <c:pt idx="2">
                  <c:v>2.3364485981308376E-2</c:v>
                </c:pt>
                <c:pt idx="3">
                  <c:v>0.16822429906542083</c:v>
                </c:pt>
                <c:pt idx="4">
                  <c:v>6.5420560747663559E-2</c:v>
                </c:pt>
                <c:pt idx="5">
                  <c:v>5.1401869158878497E-2</c:v>
                </c:pt>
              </c:numCache>
            </c:numRef>
          </c:val>
        </c:ser>
        <c:axId val="124795520"/>
        <c:axId val="127013248"/>
      </c:barChart>
      <c:catAx>
        <c:axId val="1247955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7013248"/>
        <c:crosses val="autoZero"/>
        <c:auto val="1"/>
        <c:lblAlgn val="ctr"/>
        <c:lblOffset val="100"/>
      </c:catAx>
      <c:valAx>
        <c:axId val="127013248"/>
        <c:scaling>
          <c:orientation val="minMax"/>
        </c:scaling>
        <c:axPos val="b"/>
        <c:numFmt formatCode="0%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4795520"/>
        <c:crosses val="autoZero"/>
        <c:crossBetween val="between"/>
        <c:majorUnit val="0.2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plotArea>
      <c:layout>
        <c:manualLayout>
          <c:layoutTarget val="inner"/>
          <c:xMode val="edge"/>
          <c:yMode val="edge"/>
          <c:x val="0.13945478926114174"/>
          <c:y val="0.23742020117423593"/>
          <c:w val="0.81167499476802363"/>
          <c:h val="0.75579636450652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layout>
                <c:manualLayout>
                  <c:x val="-4.7311827956989599E-2"/>
                  <c:y val="0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8.1720430107527026E-2"/>
                  <c:y val="0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800">
                    <a:latin typeface="PT Sans"/>
                  </a:defRPr>
                </a:pPr>
                <a:endParaRPr lang="ru-RU"/>
              </a:p>
            </c:txPr>
            <c:dLblPos val="outEnd"/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студии и 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0.43679880329095044</c:v>
                </c:pt>
                <c:pt idx="1">
                  <c:v>0.31588132635253091</c:v>
                </c:pt>
                <c:pt idx="2">
                  <c:v>0.21067065569683369</c:v>
                </c:pt>
                <c:pt idx="3">
                  <c:v>3.3158813263525315E-2</c:v>
                </c:pt>
                <c:pt idx="4">
                  <c:v>3.4904013961605607E-3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10765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gnekrasova</cp:lastModifiedBy>
  <cp:revision>2</cp:revision>
  <dcterms:created xsi:type="dcterms:W3CDTF">2014-12-26T11:46:00Z</dcterms:created>
  <dcterms:modified xsi:type="dcterms:W3CDTF">2014-12-26T11:46:00Z</dcterms:modified>
</cp:coreProperties>
</file>