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5.xml" ContentType="application/vnd.openxmlformats-officedocument.drawingml.chartshapes+xml"/>
  <Override PartName="/word/charts/chart16.xml" ContentType="application/vnd.openxmlformats-officedocument.drawingml.chart+xml"/>
  <Override PartName="/word/drawings/drawing6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CE" w:rsidRPr="00E86AF0" w:rsidRDefault="004F06CE" w:rsidP="002F2DCE">
      <w:pPr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Общие тенденции на </w:t>
      </w:r>
      <w:r w:rsidR="00FA668C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рынке аренды жилья </w:t>
      </w: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Санкт-Петербурга</w:t>
      </w:r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.</w:t>
      </w:r>
      <w:r w:rsidR="00D07D2D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</w:p>
    <w:p w:rsidR="002F2DCE" w:rsidRPr="00E86AF0" w:rsidRDefault="0046484C" w:rsidP="002F2DCE">
      <w:pPr>
        <w:rPr>
          <w:rFonts w:ascii="Franklin Gothic Book" w:hAnsi="Franklin Gothic Book"/>
          <w:color w:val="333333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EC34DA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326275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2015</w:t>
      </w:r>
      <w:proofErr w:type="gramEnd"/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BE21F2" w:rsidRPr="00E86AF0" w:rsidRDefault="00BE21F2" w:rsidP="00BE21F2">
      <w:pPr>
        <w:jc w:val="both"/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 xml:space="preserve">(Мария </w:t>
      </w: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>, САРН, ГК "Бюллетень Недвижимости")</w:t>
      </w:r>
    </w:p>
    <w:p w:rsidR="002F2DCE" w:rsidRPr="00E86AF0" w:rsidRDefault="002F2DCE" w:rsidP="00E23604">
      <w:pPr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>_______________________________________________________________________________________________</w:t>
      </w: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326275">
        <w:rPr>
          <w:rFonts w:ascii="Franklin Gothic Book" w:hAnsi="Franklin Gothic Book"/>
          <w:sz w:val="22"/>
          <w:szCs w:val="22"/>
        </w:rPr>
        <w:t>За минувший 2015 год изменение средней цены предложения на рынке аренды однокомнатных квартир составило минус 3%, средняя стоимость в декабре 2015 года – 21,1 тыс. руб. в месяц. Двухкомнатные показали минус 6,2%, средняя цена аренды составила 28 тыс. руб. в месяц. Стоимость аренды трехкомнатных квартир в Петербурге на конец декабря 2015 года составила 36,6 тыс. руб. в месяц, что на 1,8% ниже, чем в декабре 2014 года. Средняя цена предложения комнат понизилась за год на 2,6%, стоимость аренды в месяц составила 11,1 тыс. руб.</w:t>
      </w:r>
    </w:p>
    <w:p w:rsidR="00444BF6" w:rsidRDefault="00444BF6" w:rsidP="00846450">
      <w:pPr>
        <w:pStyle w:val="Tabledate"/>
        <w:jc w:val="left"/>
        <w:rPr>
          <w:rFonts w:ascii="Franklin Gothic Book" w:hAnsi="Franklin Gothic Book"/>
          <w:i/>
          <w:iCs/>
          <w:sz w:val="28"/>
          <w:szCs w:val="28"/>
        </w:rPr>
      </w:pPr>
    </w:p>
    <w:p w:rsidR="00462D21" w:rsidRDefault="00462D21" w:rsidP="00846450">
      <w:pPr>
        <w:pStyle w:val="Tabledate"/>
        <w:jc w:val="left"/>
        <w:rPr>
          <w:rFonts w:ascii="Franklin Gothic Book" w:hAnsi="Franklin Gothic Book"/>
          <w:i/>
          <w:iCs/>
          <w:sz w:val="28"/>
          <w:szCs w:val="28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Цена, руб./мес.</w:t>
      </w:r>
    </w:p>
    <w:p w:rsidR="0088622B" w:rsidRDefault="0032627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20A1DF1" wp14:editId="7FD8E853">
            <wp:extent cx="2952000" cy="1728000"/>
            <wp:effectExtent l="0" t="0" r="127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D65EC8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</w:t>
      </w: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AA2924E" wp14:editId="48636BEE">
            <wp:extent cx="2952000" cy="1728000"/>
            <wp:effectExtent l="0" t="0" r="127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4BF6" w:rsidRDefault="004F66C6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2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sz w:val="22"/>
          <w:szCs w:val="22"/>
        </w:rPr>
        <w:t xml:space="preserve">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1" w:rsidRPr="00E86AF0" w:rsidRDefault="00462D21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  <w:lang w:val="en-US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00"/>
        <w:gridCol w:w="1900"/>
        <w:gridCol w:w="1900"/>
        <w:gridCol w:w="1900"/>
      </w:tblGrid>
      <w:tr w:rsidR="00015D3A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Период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Комнаты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15D3A" w:rsidRPr="00015D3A" w:rsidRDefault="00015D3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3ккв</w:t>
            </w:r>
          </w:p>
        </w:tc>
      </w:tr>
      <w:tr w:rsidR="0032627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декабрь 2014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11 373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21 783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29 619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37 217</w:t>
            </w:r>
          </w:p>
        </w:tc>
      </w:tr>
      <w:tr w:rsidR="0032627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декабрь 2015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11 078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21 132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27 798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36 553</w:t>
            </w:r>
          </w:p>
        </w:tc>
      </w:tr>
      <w:tr w:rsidR="00326275" w:rsidRPr="00462D21" w:rsidTr="00462D21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-2.99%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-6.15%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-1.78%</w:t>
            </w:r>
          </w:p>
        </w:tc>
      </w:tr>
    </w:tbl>
    <w:p w:rsidR="00846450" w:rsidRPr="00E86AF0" w:rsidRDefault="00846450" w:rsidP="00846450">
      <w:pPr>
        <w:pStyle w:val="Tabledate"/>
        <w:jc w:val="left"/>
        <w:rPr>
          <w:rFonts w:ascii="Franklin Gothic Book" w:hAnsi="Franklin Gothic Book" w:cs="Times New Roman"/>
          <w:sz w:val="28"/>
          <w:szCs w:val="28"/>
          <w:lang w:val="en-US"/>
        </w:rPr>
      </w:pPr>
    </w:p>
    <w:p w:rsidR="00D24784" w:rsidRPr="00E86AF0" w:rsidRDefault="00D24784" w:rsidP="00D24784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462D21" w:rsidRDefault="00462D21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 xml:space="preserve">В структуре предложения на рынке аренды типового жилья в декабре 2015 года по-прежнему преобладают комнаты и однокомнатные квартиры, занимая соответственно 31,2 и 40,4% рынка. Двухкомнатные квартиры составляют 21,1%, доля трехкомнатных не превышает 6,7%. Многокомнатные (четыре комнаты и более) составляют 0,6% от общего объема типовых квартир, предлагаемых в аренду. </w:t>
      </w:r>
    </w:p>
    <w:p w:rsidR="00462D21" w:rsidRPr="004F66C6" w:rsidRDefault="00462D21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46450" w:rsidRPr="004F66C6" w:rsidRDefault="00846450" w:rsidP="004F66C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214AC" w:rsidRPr="00E86AF0" w:rsidRDefault="00846450" w:rsidP="00846450">
      <w:pPr>
        <w:pStyle w:val="Tabledate"/>
        <w:jc w:val="left"/>
        <w:rPr>
          <w:rFonts w:ascii="Franklin Gothic Book" w:hAnsi="Franklin Gothic Book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типу квартир, % от общего объема</w:t>
      </w:r>
      <w:r w:rsidR="00D65EC8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A91831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90236E" w:rsidRPr="00E86AF0">
        <w:rPr>
          <w:rFonts w:ascii="Franklin Gothic Book" w:hAnsi="Franklin Gothic Book"/>
          <w:noProof/>
          <w:sz w:val="22"/>
          <w:szCs w:val="22"/>
        </w:rPr>
        <w:t xml:space="preserve"> </w:t>
      </w:r>
    </w:p>
    <w:p w:rsidR="004F66C6" w:rsidRPr="007F4CC5" w:rsidRDefault="00326275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 w:rsidRPr="0032627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22BAD858" wp14:editId="2A294D2A">
            <wp:extent cx="2952000" cy="1728000"/>
            <wp:effectExtent l="0" t="0" r="1270" b="57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F4051">
        <w:rPr>
          <w:rFonts w:ascii="Franklin Gothic Book" w:hAnsi="Franklin Gothic Book"/>
          <w:noProof/>
          <w:sz w:val="24"/>
          <w:szCs w:val="24"/>
        </w:rPr>
        <w:t xml:space="preserve">  </w:t>
      </w:r>
      <w:r w:rsidR="00462D21">
        <w:rPr>
          <w:rFonts w:ascii="Franklin Gothic Book" w:hAnsi="Franklin Gothic Book"/>
          <w:noProof/>
          <w:sz w:val="24"/>
          <w:szCs w:val="24"/>
        </w:rPr>
        <w:t xml:space="preserve">       </w:t>
      </w:r>
      <w:r w:rsidRPr="0032627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61ABC623" wp14:editId="5FDA9302">
            <wp:extent cx="2952000" cy="1728000"/>
            <wp:effectExtent l="0" t="0" r="1270" b="571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</w:t>
      </w:r>
      <w:r w:rsidR="007F4CC5">
        <w:rPr>
          <w:rFonts w:ascii="Franklin Gothic Book" w:hAnsi="Franklin Gothic Book"/>
          <w:i/>
          <w:iCs/>
          <w:sz w:val="24"/>
          <w:szCs w:val="24"/>
        </w:rPr>
        <w:t xml:space="preserve">  </w:t>
      </w:r>
      <w:r w:rsidR="004F66C6" w:rsidRPr="004F66C6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62D21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F66C6" w:rsidRPr="004F66C6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16" w:rsidRDefault="00407716" w:rsidP="00326275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lastRenderedPageBreak/>
        <w:t xml:space="preserve">Структура предложения на рынке аренды типового жилья по диапазону цены на конец 2015 года выглядит следующим образом. Максимальное количество предложений комнат находится в ценовом диапазоне от 10 до 12 тыс. руб. и от 12 до 14 тыс. руб. в месяц, что занимает 41% и 30% от всего предложения. Наибольшее число однокомнатных квартир зафиксировано в диапазоне от 16 до 19 тыс. руб. и от 19 до 22 тыс. руб. в месяц, что составляет 28,6% и 29,5% от всего объема по указанному типу квартир. В сегменте двухкомнатных квартир максимальное предложение объектов приходится на диапазон от 20 до 24 тыс. руб. и от 24 до 28 тыс. руб. в месяц, это 30,2% и 29,8% от всего объема. </w:t>
      </w:r>
      <w:proofErr w:type="gramStart"/>
      <w:r w:rsidRPr="00326275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326275">
        <w:rPr>
          <w:rFonts w:ascii="Franklin Gothic Book" w:hAnsi="Franklin Gothic Book"/>
          <w:sz w:val="22"/>
          <w:szCs w:val="22"/>
        </w:rPr>
        <w:t xml:space="preserve"> предложений объектов находится в диапазоне цены от 23 до 31 тыс. руб. в месяц, что составляет 42,3% от всего объема по данному типу квартир. </w:t>
      </w:r>
    </w:p>
    <w:p w:rsidR="00846450" w:rsidRPr="004F66C6" w:rsidRDefault="00846450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1624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Диапазоны стоимости аренды в месяц (тыс. руб.), % от общего объема</w:t>
      </w:r>
    </w:p>
    <w:p w:rsidR="00D579F9" w:rsidRPr="00273AE5" w:rsidRDefault="00273AE5" w:rsidP="00846450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D579F9" w:rsidRPr="00273AE5">
        <w:rPr>
          <w:rFonts w:ascii="Franklin Gothic Book" w:hAnsi="Franklin Gothic Book"/>
          <w:iCs/>
          <w:sz w:val="22"/>
          <w:szCs w:val="22"/>
        </w:rPr>
        <w:t>Комнаты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                                                    </w:t>
      </w:r>
      <w:r w:rsidR="00462D21" w:rsidRPr="00273AE5">
        <w:rPr>
          <w:rFonts w:ascii="Franklin Gothic Book" w:hAnsi="Franklin Gothic Book"/>
          <w:iCs/>
          <w:sz w:val="22"/>
          <w:szCs w:val="22"/>
        </w:rPr>
        <w:t xml:space="preserve">                         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Однокомнатные квартиры</w:t>
      </w:r>
    </w:p>
    <w:p w:rsidR="00846450" w:rsidRDefault="00326275" w:rsidP="00D579F9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32627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38D0419E" wp14:editId="3D7AAE9E">
            <wp:extent cx="2952000" cy="1728000"/>
            <wp:effectExtent l="0" t="0" r="1270" b="571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</w:t>
      </w:r>
      <w:r w:rsidR="004F66C6"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32627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11753A2A" wp14:editId="4AB9814B">
            <wp:extent cx="2952000" cy="1728000"/>
            <wp:effectExtent l="0" t="0" r="1270" b="571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1AFA" w:rsidRDefault="00D579F9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1" w:rsidRDefault="00462D21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</w:p>
    <w:p w:rsidR="004F66C6" w:rsidRDefault="00273AE5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 xml:space="preserve">Двухкомнатные квартиры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>Трехкомнатные квартиры</w:t>
      </w:r>
    </w:p>
    <w:p w:rsidR="004F66C6" w:rsidRDefault="00326275" w:rsidP="00D579F9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1FF6711" wp14:editId="4D32139D">
            <wp:extent cx="2952000" cy="1728000"/>
            <wp:effectExtent l="0" t="0" r="1270" b="571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F66C6"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BF458F0" wp14:editId="0E77F710">
            <wp:extent cx="2952000" cy="1728000"/>
            <wp:effectExtent l="0" t="0" r="1270" b="571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9F9" w:rsidRPr="00E86AF0" w:rsidRDefault="00D579F9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</w:t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9" w:rsidRPr="00E86AF0" w:rsidRDefault="003B5E79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 xml:space="preserve">В структуре предложения по районам на конец 2015 года лидирующие позиции занимает Приморский район Петербурга, составляющий 10,8% от всего объема рынка аренды жилья. Далее на рынке большую долю занимают Невский, Выборгский и Калининский районы, их доля в предложении – 10,6, 10,3 и 9,7% соответственно. Минимальное количество типовых объектов, предлагаемых в аренду, наблюдается в Петроградском, Василеостровском и Адмиралтейском районах, предложение распределяется в среднем от 3 до 5,3% на каждый район. </w:t>
      </w:r>
    </w:p>
    <w:p w:rsidR="00400E3A" w:rsidRPr="00E86AF0" w:rsidRDefault="00400E3A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846450" w:rsidRDefault="0032627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EEEB4D5" wp14:editId="337B11C3">
            <wp:extent cx="6253480" cy="2019300"/>
            <wp:effectExtent l="0" t="0" r="1397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5E79" w:rsidRPr="00201AFA" w:rsidRDefault="00201AFA" w:rsidP="0032627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01AF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</w:t>
      </w:r>
      <w:r w:rsidR="00326275">
        <w:rPr>
          <w:rFonts w:ascii="Franklin Gothic Book" w:hAnsi="Franklin Gothic Book" w:cs="Times New Roman"/>
          <w:sz w:val="22"/>
          <w:szCs w:val="22"/>
        </w:rPr>
        <w:t xml:space="preserve">                           </w:t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Самое дорогое жилье на рынке аренды по-прежнему предлагается в центральных районах города (Центральном, Петроградском, Василеостровском и Адмиралтейском). На конец 2015 года средняя цена типовой однокомнатной квартиры в них – от 25,7 до 31 тыс. руб. в месяц, цена двухкомнатной – от 33,4 до 41,2 тыс. руб. Трехкомнатные в центральных районах предлагаются в среднем от 43,6 до 60 тыс. руб. в месяц, в зависимости от месторасположения и состояния. Самые дешевые квартиры – в Красносельском районе Петербурга, аренда однокомнатной в месяц в среднем стоит 18,5 тыс. руб., двухкомнатной – 23,5 тыс. руб., трехкомнатные в среднем предлагаются по цене 29,1 тыс. руб. в месяц.</w:t>
      </w:r>
    </w:p>
    <w:p w:rsidR="00B157D1" w:rsidRPr="00E86AF0" w:rsidRDefault="00B157D1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B5612" w:rsidRPr="00E86AF0" w:rsidRDefault="00FB5612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77652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Средняя цена предложения по районам Петербурга, руб./мес.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201AFA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Комнаты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Однокомнатные квартиры</w:t>
            </w:r>
          </w:p>
        </w:tc>
      </w:tr>
      <w:tr w:rsidR="00326275" w:rsidRPr="00201AFA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5" w:rsidRPr="00201AFA" w:rsidRDefault="00326275" w:rsidP="00326275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 2015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 2015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изменение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11 697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6.05%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11 761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24 561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4.64%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-0.82%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21 787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20 482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-5.99%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-4.88%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-3.52%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-4.69%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10 746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-4.88%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-6.78%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  <w:r w:rsidRPr="00201AF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-3.74%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22 384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23 104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3.22%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-2.80%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-2.66%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-1.49%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32 877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-10.53%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-4.94%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22 164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21 439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-3.27%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-4.29%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-2.64%</w:t>
            </w:r>
          </w:p>
        </w:tc>
      </w:tr>
    </w:tbl>
    <w:p w:rsidR="00FB5612" w:rsidRPr="00E86AF0" w:rsidRDefault="00FB561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Pr="00E86AF0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201AFA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Двухкомнатные квартиры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01AFA" w:rsidRPr="00201AFA" w:rsidRDefault="00201AFA" w:rsidP="00201AFA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Трехкомнатные квартиры</w:t>
            </w:r>
          </w:p>
        </w:tc>
      </w:tr>
      <w:tr w:rsidR="00326275" w:rsidRPr="00201AFA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5" w:rsidRPr="00201AFA" w:rsidRDefault="00326275" w:rsidP="00326275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 2015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eastAsiaTheme="minorEastAsia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eastAsiaTheme="minorEastAsia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 2015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eastAsiaTheme="minorEastAsia" w:hAnsi="Franklin Gothic Book" w:cs="Arial"/>
                <w:color w:val="000000" w:themeColor="text1"/>
                <w:kern w:val="24"/>
                <w:sz w:val="18"/>
                <w:szCs w:val="18"/>
              </w:rPr>
              <w:t>изменение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eastAsiaTheme="minorEastAsia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35 812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34 523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46 323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43 563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-5.96%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33 780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33 445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44 968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44 059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-2.02%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-8.74%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36 910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33 621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-8.91%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33 457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-12.18%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-7.32%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-3.11%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-2.51%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35 857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28 619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-20.19%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  <w:r w:rsidRPr="00201AF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23 547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-2.81%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29 098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0.22%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28 711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-1.86%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40 041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40 763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1.80%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25 859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-2.59%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2.27%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41 316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40 230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47 467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49 958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5.25%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30 489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28 647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-6.04%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35 205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36 377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3.33%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-6.19%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30 283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30 640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1.18%</w:t>
            </w:r>
          </w:p>
        </w:tc>
      </w:tr>
      <w:tr w:rsidR="00326275" w:rsidRPr="00201AFA" w:rsidTr="00015D3A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201AFA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41 080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41 173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51 667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60 020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16.17%</w:t>
            </w:r>
          </w:p>
        </w:tc>
      </w:tr>
    </w:tbl>
    <w:p w:rsidR="00FB5612" w:rsidRPr="00E86AF0" w:rsidRDefault="00FB5612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C10255" w:rsidRDefault="00C1025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В структуре предложения на рынке посуточной аренды типового жилья в декабре 2015 года, как и в декабре 2014 года, преобладают однокомнатные квартиры, они занимают 52,3% рынка. Двухкомнатные составляют 26,5%, доля трехкомнатных квартир – 8,9% от общего объема типового жилья. Комнаты в общей структуре – 11,5% от всего предложения.</w:t>
      </w:r>
    </w:p>
    <w:p w:rsidR="00FB5612" w:rsidRPr="00201AFA" w:rsidRDefault="00FB5612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Default="00846450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201AFA" w:rsidRPr="001877EF" w:rsidRDefault="00326275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326275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201E5890" wp14:editId="5552AA47">
            <wp:extent cx="2952000" cy="1728788"/>
            <wp:effectExtent l="0" t="0" r="1270" b="508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62D21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201AFA">
        <w:rPr>
          <w:rFonts w:ascii="Franklin Gothic Book" w:hAnsi="Franklin Gothic Book"/>
          <w:i/>
          <w:iCs/>
          <w:sz w:val="22"/>
          <w:szCs w:val="22"/>
        </w:rPr>
        <w:t xml:space="preserve">    </w:t>
      </w:r>
      <w:r w:rsidRPr="00326275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6D07D690" wp14:editId="2207BABE">
            <wp:extent cx="2951162" cy="1728788"/>
            <wp:effectExtent l="0" t="0" r="1905" b="508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1AFA" w:rsidRPr="00E86AF0" w:rsidRDefault="00201AFA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201AFA" w:rsidRDefault="00201AFA" w:rsidP="00201AF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В структуре предложения по районам на рынке посуточной аренды типового жилья лидирующие позиции по-прежнему занимает Центральный район Петербурга, его доля на конец декабря 2015 года – 33,3% от всего объема рынка. Минимальное количество объектов, предлагаемых на рынке посуточной аренды, наблюдается в Красносельском и Фрунзенском районах, их доля в предложении составила 0,6% и 2,8%. Объем предложения по остальным районам распределяется в среднем от 3,5 до 11,1% от общего количества объектов.</w:t>
      </w:r>
    </w:p>
    <w:p w:rsidR="00201AFA" w:rsidRPr="00F43869" w:rsidRDefault="00201AFA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CD2CEC" w:rsidRPr="00E86AF0" w:rsidRDefault="00CD2CEC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районам, % от общего объема</w:t>
      </w:r>
    </w:p>
    <w:p w:rsidR="00846450" w:rsidRDefault="00326275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 w:rsidRPr="00326275">
        <w:rPr>
          <w:rFonts w:ascii="Franklin Gothic Book" w:hAnsi="Franklin Gothic Book"/>
          <w:sz w:val="24"/>
          <w:szCs w:val="24"/>
        </w:rPr>
        <w:drawing>
          <wp:inline distT="0" distB="0" distL="0" distR="0" wp14:anchorId="123F8E64" wp14:editId="457D18A4">
            <wp:extent cx="6336000" cy="2104907"/>
            <wp:effectExtent l="0" t="0" r="8255" b="101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4CC5" w:rsidRPr="00E86AF0" w:rsidRDefault="007F4CC5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</w:t>
      </w:r>
      <w:r w:rsidRPr="007F4CC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58" name="Рисунок 27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FA" w:rsidRPr="00E86AF0" w:rsidRDefault="00201AFA" w:rsidP="00FB5612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FB5612" w:rsidRPr="00280870" w:rsidRDefault="00FB5612" w:rsidP="0028087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Стоимость комнат на рынке посуточной аренды в декабре 2015 года составляет в среднем от 570 до 1 113 руб. в сутки. Однокомнатные квартиры предлагаются в ценовом диапазоне от 1,4 до 1,8 тыс. руб. в сутки. Средний ценовой диапазон двухкомнатных квартир, предлагаемых в посуточную аренду, составляет от 1,7 до 2,6 тыс. руб. в сутки. Стоимость трехкомнатных – от 1,9 до 3,5 тыс. руб. в сутки, в зависимости от месторасположения и состояния объекта.</w:t>
      </w:r>
    </w:p>
    <w:p w:rsidR="00F43869" w:rsidRPr="00F43869" w:rsidRDefault="00F43869" w:rsidP="00F4386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513233" w:rsidRPr="00513233" w:rsidRDefault="00513233" w:rsidP="00513233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 xml:space="preserve">Цена посуточной аренды по районам, </w:t>
      </w:r>
      <w:proofErr w:type="gramStart"/>
      <w:r w:rsidRPr="00E86AF0">
        <w:rPr>
          <w:rFonts w:ascii="Franklin Gothic Book" w:hAnsi="Franklin Gothic Book"/>
          <w:i/>
          <w:iCs/>
          <w:sz w:val="22"/>
          <w:szCs w:val="22"/>
        </w:rPr>
        <w:t>руб..</w:t>
      </w:r>
      <w:proofErr w:type="gramEnd"/>
      <w:r w:rsidRPr="00E86AF0">
        <w:rPr>
          <w:rFonts w:ascii="Franklin Gothic Book" w:hAnsi="Franklin Gothic Book"/>
          <w:i/>
          <w:iCs/>
          <w:sz w:val="22"/>
          <w:szCs w:val="22"/>
        </w:rPr>
        <w:t>/</w:t>
      </w:r>
      <w:proofErr w:type="spellStart"/>
      <w:r w:rsidRPr="00E86AF0">
        <w:rPr>
          <w:rFonts w:ascii="Franklin Gothic Book" w:hAnsi="Franklin Gothic Book"/>
          <w:i/>
          <w:iCs/>
          <w:sz w:val="22"/>
          <w:szCs w:val="22"/>
        </w:rPr>
        <w:t>сут</w:t>
      </w:r>
      <w:proofErr w:type="spellEnd"/>
      <w:r w:rsidRPr="00E86AF0">
        <w:rPr>
          <w:rFonts w:ascii="Franklin Gothic Book" w:hAnsi="Franklin Gothic Book"/>
          <w:i/>
          <w:iCs/>
          <w:sz w:val="22"/>
          <w:szCs w:val="22"/>
        </w:rPr>
        <w:t>.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213"/>
        <w:gridCol w:w="1213"/>
        <w:gridCol w:w="1218"/>
        <w:gridCol w:w="1214"/>
        <w:gridCol w:w="1214"/>
        <w:gridCol w:w="1218"/>
      </w:tblGrid>
      <w:tr w:rsidR="00407716" w:rsidRPr="00407716" w:rsidTr="00015D3A">
        <w:trPr>
          <w:trHeight w:val="283"/>
        </w:trPr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Комнаты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Однокомнатные квартиры</w:t>
            </w:r>
          </w:p>
        </w:tc>
      </w:tr>
      <w:tr w:rsidR="00326275" w:rsidRPr="00407716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5" w:rsidRPr="00407716" w:rsidRDefault="00326275" w:rsidP="00326275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-1.50%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15.43%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41.36%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-9.85%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689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1.52%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3.09%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1 464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1 445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-1.27%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-4.19%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-5.53%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18.75%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1 291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18.69%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lastRenderedPageBreak/>
              <w:t>Красносельский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-8.06%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-13.60%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1 427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-4.88%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39.04%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1 467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5.39%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-13.93%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-10.79%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777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-12.09%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-2.11%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1 619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4.08%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13.66%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-1.39%</w:t>
            </w:r>
          </w:p>
        </w:tc>
      </w:tr>
    </w:tbl>
    <w:p w:rsidR="00FB5612" w:rsidRPr="00E86AF0" w:rsidRDefault="00FB561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213"/>
        <w:gridCol w:w="1213"/>
        <w:gridCol w:w="1218"/>
        <w:gridCol w:w="1214"/>
        <w:gridCol w:w="1214"/>
        <w:gridCol w:w="1218"/>
      </w:tblGrid>
      <w:tr w:rsidR="00407716" w:rsidRPr="00407716" w:rsidTr="00015D3A">
        <w:trPr>
          <w:trHeight w:val="283"/>
        </w:trPr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Двухкомнатные квартиры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07716" w:rsidRPr="00407716" w:rsidRDefault="00407716" w:rsidP="00407716">
            <w:pPr>
              <w:pStyle w:val="Tabledate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  <w:b/>
                <w:bCs/>
              </w:rPr>
              <w:t>Трехкомнатные квартиры</w:t>
            </w:r>
          </w:p>
        </w:tc>
      </w:tr>
      <w:tr w:rsidR="00326275" w:rsidRPr="00407716" w:rsidTr="00015D3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5" w:rsidRPr="00407716" w:rsidRDefault="00326275" w:rsidP="00326275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за год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2 118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2 103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3 128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2 686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-15.87%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2 744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3 250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18.42%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2 435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1 948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-19.99%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3 100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4.99%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10.00%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2 438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-7.70%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2 571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1 982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-22.92%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Красносельский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1 967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-13.56%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2 180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-3.60%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2 316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-20.13%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-11.74%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2 594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25.72%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2 350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2 177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-7.79%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-24.28%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proofErr w:type="spellStart"/>
            <w:r w:rsidRPr="00407716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-22.35%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2 333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-18.93%</w:t>
            </w:r>
          </w:p>
        </w:tc>
      </w:tr>
      <w:tr w:rsidR="00326275" w:rsidRPr="00407716" w:rsidTr="00015D3A">
        <w:trPr>
          <w:trHeight w:val="283"/>
        </w:trPr>
        <w:tc>
          <w:tcPr>
            <w:tcW w:w="269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407716" w:rsidRDefault="00326275" w:rsidP="00326275">
            <w:pPr>
              <w:pStyle w:val="Tabledate"/>
              <w:jc w:val="left"/>
              <w:rPr>
                <w:rFonts w:ascii="Franklin Gothic Book" w:hAnsi="Franklin Gothic Book"/>
              </w:rPr>
            </w:pPr>
            <w:r w:rsidRPr="00407716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2 534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2 456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-3.07%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3 473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2.15%</w:t>
            </w:r>
          </w:p>
        </w:tc>
      </w:tr>
    </w:tbl>
    <w:p w:rsidR="00AF2275" w:rsidRDefault="00AF227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6275" w:rsidRDefault="0032627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6275" w:rsidRPr="00E86AF0" w:rsidRDefault="00326275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 xml:space="preserve">Объем предложения (количество первичных заявок на сдачу) на конец декабря 2015 года составил 7,1 тысяч объектов (из них 4,9 тысячи квартир и 2,2 тысячи комнат). В целом это на 28% ниже показателя в декабре 2014 года. Максимальный объем предложения за прошедший год зафиксирован в феврале 2015 года и составил 10,8 тысячи объектов на рынке аренды типового жилья. </w:t>
      </w:r>
    </w:p>
    <w:p w:rsidR="00767540" w:rsidRPr="00407716" w:rsidRDefault="00767540" w:rsidP="0040771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Объем предложения</w:t>
      </w:r>
    </w:p>
    <w:p w:rsidR="00846450" w:rsidRDefault="0032627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C81BCF3" wp14:editId="7CDC7C5B">
            <wp:extent cx="6337300" cy="2160588"/>
            <wp:effectExtent l="0" t="0" r="6350" b="1143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5612" w:rsidRPr="00407716" w:rsidRDefault="00407716" w:rsidP="00FC23C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</w:t>
      </w:r>
      <w:r w:rsidRPr="0040771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69847"/>
            <wp:effectExtent l="19050" t="0" r="0" b="0"/>
            <wp:docPr id="67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33" w:rsidRDefault="00513233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513233" w:rsidRDefault="00513233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Default="00326275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 xml:space="preserve">Объем спроса (количество первичных заявок на съем жилья) на конец 2015 года составил 0,7 тысяч объектов (из них 512 желающих снять квартиру и 215 – комнату). Максимальный объем спроса за прошедший год зафиксирован в августе 2015 года и составил 1,4 тысячи заявок об аренде типового жилья. </w:t>
      </w:r>
    </w:p>
    <w:p w:rsidR="001C787C" w:rsidRPr="00E86AF0" w:rsidRDefault="001C787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43869" w:rsidRDefault="00F43869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E429E4" w:rsidRPr="00E86AF0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lastRenderedPageBreak/>
        <w:t>Активность спроса</w:t>
      </w:r>
    </w:p>
    <w:p w:rsidR="001C787C" w:rsidRDefault="0032627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1DC8CA0" wp14:editId="2069BA71">
            <wp:extent cx="6337300" cy="2160000"/>
            <wp:effectExtent l="0" t="0" r="6350" b="1206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787C" w:rsidRPr="00E86AF0" w:rsidRDefault="00407716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</w:t>
      </w:r>
      <w:r w:rsidRPr="0040771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69847"/>
            <wp:effectExtent l="19050" t="0" r="0" b="0"/>
            <wp:docPr id="69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12" w:rsidRPr="00E86AF0" w:rsidRDefault="00FB5612" w:rsidP="00FC23C5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1D2206" w:rsidRDefault="001D2206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Наиболее востребованными на рынке аренды типового жилья по-прежнему остаются комнаты и однокомнатные квартиры, их доля на конец 2015 года составляет 31,6 и 38,2% от всего спроса. Также востребованы двухкомнатные квартиры – 16,6% от всех заявок на съем. Доля запросов по аренде трехкомнатных квартир не превышает 6,3%. На квартиры с большим числом комнат приходится 7,3% от общего объема спроса на рынке аренды жилья Петербурга.</w:t>
      </w:r>
    </w:p>
    <w:p w:rsidR="001C787C" w:rsidRPr="00E86AF0" w:rsidRDefault="001C787C" w:rsidP="001C787C">
      <w:pPr>
        <w:pStyle w:val="Tabledate"/>
        <w:jc w:val="left"/>
        <w:rPr>
          <w:rFonts w:ascii="Franklin Gothic Book" w:hAnsi="Franklin Gothic Book" w:cs="Times New Roman"/>
          <w:sz w:val="24"/>
          <w:szCs w:val="24"/>
        </w:rPr>
      </w:pPr>
    </w:p>
    <w:p w:rsidR="00846450" w:rsidRDefault="001C787C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407716" w:rsidRDefault="00326275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326275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6096DE0A" wp14:editId="6FD37DDA">
            <wp:extent cx="2952000" cy="1728000"/>
            <wp:effectExtent l="0" t="0" r="1270" b="571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07716">
        <w:rPr>
          <w:rFonts w:ascii="Franklin Gothic Book" w:hAnsi="Franklin Gothic Book"/>
          <w:i/>
          <w:iCs/>
          <w:sz w:val="22"/>
          <w:szCs w:val="22"/>
        </w:rPr>
        <w:t xml:space="preserve">     </w:t>
      </w:r>
      <w:r w:rsidRPr="00326275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5B22E547" wp14:editId="1E6CCF19">
            <wp:extent cx="2952000" cy="1728000"/>
            <wp:effectExtent l="0" t="0" r="1270" b="571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07716" w:rsidRPr="001877EF" w:rsidRDefault="00407716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5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iCs/>
          <w:sz w:val="22"/>
          <w:szCs w:val="22"/>
        </w:rPr>
        <w:t xml:space="preserve">                                                    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9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26" w:rsidRPr="00E86AF0" w:rsidRDefault="000B3926" w:rsidP="00B157D1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1D2206" w:rsidRDefault="001D2206" w:rsidP="00015D3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>Лидерами спроса по типам и местоположению в декабре 2015 года на рынке аренды типового жилья являются однокомнатные квартиры в Выборгском районе по цене до 18,2 тыс. руб. в месяц соответственно. Популярностью у арендаторов также пользуются комнаты в Центральном и Невском районах, средняя цена спроса составляет до 12,1 и 11 тыс. руб. в месяц соответственно.</w:t>
      </w:r>
    </w:p>
    <w:p w:rsidR="000B3926" w:rsidRPr="006D5CCC" w:rsidRDefault="000B3926" w:rsidP="006D5CCC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Рейтинг популярности по спросу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933"/>
        <w:gridCol w:w="2935"/>
        <w:gridCol w:w="2934"/>
      </w:tblGrid>
      <w:tr w:rsidR="002B315E" w:rsidRPr="002B315E" w:rsidTr="00015D3A">
        <w:trPr>
          <w:trHeight w:val="4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Место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Объект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Район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315E" w:rsidRPr="002B315E" w:rsidRDefault="002B315E" w:rsidP="002B315E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Средняя цена (руб./мес.)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18 222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12 094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11 013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24 250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21 767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28 000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11 458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18 250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22 455</w:t>
            </w:r>
          </w:p>
        </w:tc>
      </w:tr>
      <w:tr w:rsidR="00326275" w:rsidRPr="002B315E" w:rsidTr="00015D3A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26275" w:rsidRPr="00326275" w:rsidRDefault="00326275" w:rsidP="0032627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2627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10 909</w:t>
            </w:r>
          </w:p>
        </w:tc>
      </w:tr>
    </w:tbl>
    <w:p w:rsidR="00F02207" w:rsidRDefault="00F02207" w:rsidP="006D5CCC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lastRenderedPageBreak/>
        <w:t xml:space="preserve">Самыми популярными у арендаторов на рынке типового жилья в декабре 2015 года являются Центральный, Выборгский и Приморский районы Петербурга, они составляют 11,7, 11,3 и 11,1% от всего спроса. Также большим спросом пользуется жилье в Московском и Невском районах, их доли – 10 и 9,9% на каждый район. Наименьшим спросом пользуются </w:t>
      </w:r>
      <w:proofErr w:type="spellStart"/>
      <w:r w:rsidRPr="00326275">
        <w:rPr>
          <w:rFonts w:ascii="Franklin Gothic Book" w:hAnsi="Franklin Gothic Book"/>
          <w:sz w:val="22"/>
          <w:szCs w:val="22"/>
        </w:rPr>
        <w:t>Красносельский</w:t>
      </w:r>
      <w:proofErr w:type="spellEnd"/>
      <w:r w:rsidRPr="00326275">
        <w:rPr>
          <w:rFonts w:ascii="Franklin Gothic Book" w:hAnsi="Franklin Gothic Book"/>
          <w:sz w:val="22"/>
          <w:szCs w:val="22"/>
        </w:rPr>
        <w:t xml:space="preserve"> и Василеостровский районы. </w:t>
      </w:r>
    </w:p>
    <w:p w:rsidR="00FB5612" w:rsidRPr="00E86AF0" w:rsidRDefault="00FB5612" w:rsidP="00FB5612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E429E4" w:rsidRPr="00E86AF0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районам, % от общего объема</w:t>
      </w:r>
    </w:p>
    <w:p w:rsidR="001C787C" w:rsidRDefault="0032627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1717E74" wp14:editId="7F65539D">
            <wp:extent cx="6336000" cy="2104907"/>
            <wp:effectExtent l="0" t="0" r="8255" b="1016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29E4" w:rsidRPr="002B315E" w:rsidRDefault="002B315E" w:rsidP="00FC23C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B315E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1" name="Рисунок 4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C9" w:rsidRPr="00E86AF0" w:rsidRDefault="00C94CC9" w:rsidP="00FC23C5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6275" w:rsidRPr="00326275" w:rsidRDefault="00326275" w:rsidP="00326275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326275">
        <w:rPr>
          <w:rFonts w:ascii="Franklin Gothic Book" w:hAnsi="Franklin Gothic Book"/>
          <w:sz w:val="22"/>
          <w:szCs w:val="22"/>
        </w:rPr>
        <w:t xml:space="preserve">Структура спроса на рынке аренды типового жилья по диапазону цены в декабре 2015 года выглядит следующим образом. Максимальное количество запросов о съеме комнат находится в ценовом диапазоне от 10 до 12 тыс. руб. и от 12 до 14 тыс. руб. в месяц, что занимает по 37,1% от всего спроса. Наибольший спрос на однокомнатные квартиры зафиксирован в диапазоне от 16 до 19 тыс. руб. и от 19 до 22 тыс. руб. в месяц, что составляет 28,1% и 27,7% от всех запросов по указанному типу квартир. В сегменте двухкомнатных квартир максимальное количество заявок приходится на диапазон от 24 до 28 тыс. руб. в месяц, что занимает 44,3% от всего объема. По трехкомнатным квартирам максимальный спрос зафиксирован в диапазоне цен от 23 до 31 тыс. руб. в месяц, это 47,5% от всех заявок на съем жилья по данному типу квартир. </w:t>
      </w:r>
    </w:p>
    <w:p w:rsidR="000B3926" w:rsidRPr="00E86AF0" w:rsidRDefault="000B3926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Спрос по диапазону стоимости аренды (тыс. руб./ мес.), % от общего объема</w:t>
      </w:r>
    </w:p>
    <w:p w:rsidR="00273AE5" w:rsidRPr="00E86AF0" w:rsidRDefault="00273AE5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273AE5" w:rsidRPr="00273AE5" w:rsidRDefault="00273AE5" w:rsidP="00273AE5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 w:rsidRPr="00273AE5">
        <w:rPr>
          <w:rFonts w:ascii="Franklin Gothic Book" w:hAnsi="Franklin Gothic Book"/>
          <w:iCs/>
          <w:sz w:val="22"/>
          <w:szCs w:val="22"/>
        </w:rPr>
        <w:t>Комнаты                                                                               Однокомнатные квартиры</w:t>
      </w:r>
    </w:p>
    <w:p w:rsidR="00273AE5" w:rsidRDefault="0032627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32627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2C696948" wp14:editId="794A1E16">
            <wp:extent cx="2952000" cy="1728000"/>
            <wp:effectExtent l="0" t="0" r="1270" b="571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32627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FAFD345" wp14:editId="51EE6140">
            <wp:extent cx="2952000" cy="1728000"/>
            <wp:effectExtent l="0" t="0" r="1270" b="571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Двухкомнатные квартиры                                                  Трехкомнатные квартиры</w:t>
      </w:r>
    </w:p>
    <w:p w:rsidR="00273AE5" w:rsidRDefault="00326275" w:rsidP="00273AE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983D7B2" wp14:editId="5E341CCF">
            <wp:extent cx="2952000" cy="1728000"/>
            <wp:effectExtent l="0" t="0" r="1270" b="571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32627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04A6BB48" wp14:editId="315909DD">
            <wp:extent cx="2952000" cy="1728000"/>
            <wp:effectExtent l="0" t="0" r="1270" b="571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Start w:id="1" w:name="_GoBack"/>
      <w:bookmarkEnd w:id="1"/>
    </w:p>
    <w:p w:rsidR="00273AE5" w:rsidRDefault="00273AE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9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5" w:rsidRPr="00E86AF0" w:rsidRDefault="00273AE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lastRenderedPageBreak/>
        <w:t>__________________________________________________________________________</w:t>
      </w: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bookmarkEnd w:id="0"/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E86AF0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FC6B05" w:rsidRPr="00E86AF0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BE21F2" w:rsidRPr="00E86AF0" w:rsidRDefault="00BE21F2" w:rsidP="00BE21F2">
      <w:pPr>
        <w:spacing w:after="0"/>
        <w:rPr>
          <w:rFonts w:ascii="Franklin Gothic Book" w:hAnsi="Franklin Gothic Book"/>
        </w:rPr>
      </w:pP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  <w:lang w:val="en-US"/>
        </w:rPr>
      </w:pPr>
      <w:r w:rsidRPr="00E86AF0">
        <w:rPr>
          <w:rFonts w:ascii="Franklin Gothic Book" w:hAnsi="Franklin Gothic Book"/>
        </w:rPr>
        <w:t>тел</w:t>
      </w:r>
      <w:r w:rsidRPr="00E86AF0">
        <w:rPr>
          <w:rFonts w:ascii="Franklin Gothic Book" w:hAnsi="Franklin Gothic Book"/>
          <w:lang w:val="en-US"/>
        </w:rPr>
        <w:t>. (812) 32</w:t>
      </w:r>
      <w:r w:rsidR="000B3926" w:rsidRPr="00E86AF0">
        <w:rPr>
          <w:rFonts w:ascii="Franklin Gothic Book" w:hAnsi="Franklin Gothic Book"/>
          <w:lang w:val="en-US"/>
        </w:rPr>
        <w:t>5-06-</w:t>
      </w:r>
      <w:r w:rsidRPr="00E86AF0">
        <w:rPr>
          <w:rFonts w:ascii="Franklin Gothic Book" w:hAnsi="Franklin Gothic Book"/>
          <w:lang w:val="en-US"/>
        </w:rPr>
        <w:t>8</w:t>
      </w:r>
      <w:r w:rsidR="000B3926" w:rsidRPr="00E86AF0">
        <w:rPr>
          <w:rFonts w:ascii="Franklin Gothic Book" w:hAnsi="Franklin Gothic Book"/>
          <w:lang w:val="en-US"/>
        </w:rPr>
        <w:t>1</w:t>
      </w:r>
      <w:r w:rsidRPr="00E86AF0">
        <w:rPr>
          <w:rFonts w:ascii="Franklin Gothic Book" w:hAnsi="Franklin Gothic Book"/>
          <w:lang w:val="en-US"/>
        </w:rPr>
        <w:t xml:space="preserve">, e-mail: </w:t>
      </w:r>
      <w:hyperlink r:id="rId26" w:history="1">
        <w:r w:rsidRPr="00E86AF0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E86AF0">
        <w:rPr>
          <w:rFonts w:ascii="Franklin Gothic Book" w:hAnsi="Franklin Gothic Book"/>
          <w:lang w:val="en-US"/>
        </w:rPr>
        <w:t xml:space="preserve">, 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</w:rPr>
      </w:pPr>
      <w:proofErr w:type="gramStart"/>
      <w:r w:rsidRPr="00E86AF0">
        <w:rPr>
          <w:rFonts w:ascii="Franklin Gothic Book" w:hAnsi="Franklin Gothic Book"/>
          <w:lang w:val="en-US"/>
        </w:rPr>
        <w:t>web-</w:t>
      </w:r>
      <w:r w:rsidRPr="00E86AF0">
        <w:rPr>
          <w:rFonts w:ascii="Franklin Gothic Book" w:hAnsi="Franklin Gothic Book"/>
        </w:rPr>
        <w:t>сайт</w:t>
      </w:r>
      <w:proofErr w:type="gramEnd"/>
      <w:r w:rsidRPr="00E86AF0">
        <w:rPr>
          <w:rFonts w:ascii="Franklin Gothic Book" w:hAnsi="Franklin Gothic Book"/>
          <w:lang w:val="en-US"/>
        </w:rPr>
        <w:t>: www.bn.ru</w:t>
      </w:r>
    </w:p>
    <w:p w:rsidR="00954379" w:rsidRPr="00E86AF0" w:rsidRDefault="00954379" w:rsidP="00AC0B4E">
      <w:pPr>
        <w:rPr>
          <w:rFonts w:ascii="Franklin Gothic Book" w:hAnsi="Franklin Gothic Book"/>
          <w:noProof/>
          <w:lang w:eastAsia="ru-RU"/>
        </w:rPr>
      </w:pPr>
    </w:p>
    <w:sectPr w:rsidR="00954379" w:rsidRPr="00E86AF0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4"/>
    <w:rsid w:val="00011033"/>
    <w:rsid w:val="00015D3A"/>
    <w:rsid w:val="00051913"/>
    <w:rsid w:val="00074140"/>
    <w:rsid w:val="000B3926"/>
    <w:rsid w:val="000C5586"/>
    <w:rsid w:val="001314DB"/>
    <w:rsid w:val="0013447D"/>
    <w:rsid w:val="0015437A"/>
    <w:rsid w:val="00157FD1"/>
    <w:rsid w:val="001877EF"/>
    <w:rsid w:val="00196F44"/>
    <w:rsid w:val="001A117F"/>
    <w:rsid w:val="001C787C"/>
    <w:rsid w:val="001D2206"/>
    <w:rsid w:val="001F1AD1"/>
    <w:rsid w:val="00201AFA"/>
    <w:rsid w:val="0022099D"/>
    <w:rsid w:val="00233168"/>
    <w:rsid w:val="00243E1E"/>
    <w:rsid w:val="00270E7F"/>
    <w:rsid w:val="00273AE5"/>
    <w:rsid w:val="00280870"/>
    <w:rsid w:val="002B315E"/>
    <w:rsid w:val="002C5CC4"/>
    <w:rsid w:val="002E4571"/>
    <w:rsid w:val="002F2DCE"/>
    <w:rsid w:val="003254D4"/>
    <w:rsid w:val="00326275"/>
    <w:rsid w:val="003318EE"/>
    <w:rsid w:val="00342801"/>
    <w:rsid w:val="003446BF"/>
    <w:rsid w:val="003513D5"/>
    <w:rsid w:val="003624CB"/>
    <w:rsid w:val="00396335"/>
    <w:rsid w:val="003B5E79"/>
    <w:rsid w:val="003D5CD3"/>
    <w:rsid w:val="00400E3A"/>
    <w:rsid w:val="00405A49"/>
    <w:rsid w:val="00407716"/>
    <w:rsid w:val="004214AC"/>
    <w:rsid w:val="00426073"/>
    <w:rsid w:val="00432ABD"/>
    <w:rsid w:val="00442477"/>
    <w:rsid w:val="00444BF6"/>
    <w:rsid w:val="00462D21"/>
    <w:rsid w:val="0046484C"/>
    <w:rsid w:val="00464F30"/>
    <w:rsid w:val="00492086"/>
    <w:rsid w:val="0049212B"/>
    <w:rsid w:val="004B2BCE"/>
    <w:rsid w:val="004B38DE"/>
    <w:rsid w:val="004C5665"/>
    <w:rsid w:val="004C7BD9"/>
    <w:rsid w:val="004D3EEB"/>
    <w:rsid w:val="004F06CE"/>
    <w:rsid w:val="004F4051"/>
    <w:rsid w:val="004F66C6"/>
    <w:rsid w:val="00513233"/>
    <w:rsid w:val="0052071C"/>
    <w:rsid w:val="005241A2"/>
    <w:rsid w:val="00563F27"/>
    <w:rsid w:val="005719A7"/>
    <w:rsid w:val="0057444F"/>
    <w:rsid w:val="00591D0D"/>
    <w:rsid w:val="005E1284"/>
    <w:rsid w:val="00626EEC"/>
    <w:rsid w:val="006337C7"/>
    <w:rsid w:val="00690ACD"/>
    <w:rsid w:val="00692565"/>
    <w:rsid w:val="006B1C7B"/>
    <w:rsid w:val="006D5CCC"/>
    <w:rsid w:val="006E41BB"/>
    <w:rsid w:val="006F6FC1"/>
    <w:rsid w:val="00745416"/>
    <w:rsid w:val="00750CE7"/>
    <w:rsid w:val="00767540"/>
    <w:rsid w:val="00772580"/>
    <w:rsid w:val="00776520"/>
    <w:rsid w:val="007814B1"/>
    <w:rsid w:val="007834F4"/>
    <w:rsid w:val="007904B7"/>
    <w:rsid w:val="007A092A"/>
    <w:rsid w:val="007A7DB8"/>
    <w:rsid w:val="007C3A62"/>
    <w:rsid w:val="007D0D26"/>
    <w:rsid w:val="007F4CC5"/>
    <w:rsid w:val="00806096"/>
    <w:rsid w:val="00816240"/>
    <w:rsid w:val="00821608"/>
    <w:rsid w:val="008254F5"/>
    <w:rsid w:val="00846450"/>
    <w:rsid w:val="008762A3"/>
    <w:rsid w:val="00884622"/>
    <w:rsid w:val="0088622B"/>
    <w:rsid w:val="00894196"/>
    <w:rsid w:val="0090236E"/>
    <w:rsid w:val="009054E3"/>
    <w:rsid w:val="00910B14"/>
    <w:rsid w:val="00911ED4"/>
    <w:rsid w:val="00916C83"/>
    <w:rsid w:val="00950847"/>
    <w:rsid w:val="00954379"/>
    <w:rsid w:val="009670EB"/>
    <w:rsid w:val="009870FE"/>
    <w:rsid w:val="009B1F40"/>
    <w:rsid w:val="009B2B70"/>
    <w:rsid w:val="009C318C"/>
    <w:rsid w:val="009D15EC"/>
    <w:rsid w:val="009F496D"/>
    <w:rsid w:val="00A17664"/>
    <w:rsid w:val="00A2697E"/>
    <w:rsid w:val="00A50D0B"/>
    <w:rsid w:val="00A91831"/>
    <w:rsid w:val="00AA3601"/>
    <w:rsid w:val="00AC0B4E"/>
    <w:rsid w:val="00AC52A7"/>
    <w:rsid w:val="00AF2275"/>
    <w:rsid w:val="00B001B2"/>
    <w:rsid w:val="00B157D1"/>
    <w:rsid w:val="00B457BC"/>
    <w:rsid w:val="00BA7C8E"/>
    <w:rsid w:val="00BB2E16"/>
    <w:rsid w:val="00BB2F87"/>
    <w:rsid w:val="00BE21F2"/>
    <w:rsid w:val="00BF1D32"/>
    <w:rsid w:val="00BF7046"/>
    <w:rsid w:val="00C063ED"/>
    <w:rsid w:val="00C10255"/>
    <w:rsid w:val="00C114A6"/>
    <w:rsid w:val="00C36A82"/>
    <w:rsid w:val="00C77A96"/>
    <w:rsid w:val="00C77F04"/>
    <w:rsid w:val="00C8085C"/>
    <w:rsid w:val="00C8235F"/>
    <w:rsid w:val="00C94CC9"/>
    <w:rsid w:val="00CD2CEC"/>
    <w:rsid w:val="00CD5723"/>
    <w:rsid w:val="00D051E2"/>
    <w:rsid w:val="00D07D2D"/>
    <w:rsid w:val="00D13510"/>
    <w:rsid w:val="00D24784"/>
    <w:rsid w:val="00D31D13"/>
    <w:rsid w:val="00D50628"/>
    <w:rsid w:val="00D509E3"/>
    <w:rsid w:val="00D579F9"/>
    <w:rsid w:val="00D65EC8"/>
    <w:rsid w:val="00D77094"/>
    <w:rsid w:val="00D82A4D"/>
    <w:rsid w:val="00D84F3A"/>
    <w:rsid w:val="00DB1754"/>
    <w:rsid w:val="00DD5DF0"/>
    <w:rsid w:val="00E06B77"/>
    <w:rsid w:val="00E07149"/>
    <w:rsid w:val="00E11116"/>
    <w:rsid w:val="00E23604"/>
    <w:rsid w:val="00E41FC7"/>
    <w:rsid w:val="00E429E4"/>
    <w:rsid w:val="00E44E69"/>
    <w:rsid w:val="00E508BA"/>
    <w:rsid w:val="00E50C54"/>
    <w:rsid w:val="00E539EB"/>
    <w:rsid w:val="00E6055A"/>
    <w:rsid w:val="00E86AF0"/>
    <w:rsid w:val="00E916A8"/>
    <w:rsid w:val="00E94FA0"/>
    <w:rsid w:val="00E963D8"/>
    <w:rsid w:val="00EB5739"/>
    <w:rsid w:val="00EC34DA"/>
    <w:rsid w:val="00EC7B8D"/>
    <w:rsid w:val="00EE081C"/>
    <w:rsid w:val="00F02207"/>
    <w:rsid w:val="00F122FC"/>
    <w:rsid w:val="00F3601F"/>
    <w:rsid w:val="00F43869"/>
    <w:rsid w:val="00FA668C"/>
    <w:rsid w:val="00FB5612"/>
    <w:rsid w:val="00FB7563"/>
    <w:rsid w:val="00FC23C5"/>
    <w:rsid w:val="00FC6B05"/>
    <w:rsid w:val="00FD1561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70086-049C-42DA-8F5E-49AFBE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hyperlink" Target="mailto:analitika@bn.ru" TargetMode="External"/><Relationship Id="rId3" Type="http://schemas.openxmlformats.org/officeDocument/2006/relationships/webSettings" Target="web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chart" Target="charts/chart1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16032445944247"/>
          <c:y val="8.0808057436770733E-2"/>
          <c:w val="0.7966253767377276"/>
          <c:h val="0.80714252893952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21783.499493927124</c:v>
                </c:pt>
                <c:pt idx="1">
                  <c:v>21555.005959475566</c:v>
                </c:pt>
                <c:pt idx="2">
                  <c:v>20995.36912751678</c:v>
                </c:pt>
                <c:pt idx="3">
                  <c:v>20440.893311733395</c:v>
                </c:pt>
                <c:pt idx="4">
                  <c:v>19906.452392460127</c:v>
                </c:pt>
                <c:pt idx="5">
                  <c:v>19900.555732062483</c:v>
                </c:pt>
                <c:pt idx="6">
                  <c:v>19828.49328692193</c:v>
                </c:pt>
                <c:pt idx="7">
                  <c:v>20138.256857142856</c:v>
                </c:pt>
                <c:pt idx="8">
                  <c:v>21213.538243626062</c:v>
                </c:pt>
                <c:pt idx="9">
                  <c:v>21537.639459776863</c:v>
                </c:pt>
                <c:pt idx="10">
                  <c:v>21280.773213669312</c:v>
                </c:pt>
                <c:pt idx="11">
                  <c:v>21337.747333578522</c:v>
                </c:pt>
                <c:pt idx="12">
                  <c:v>21132.063436737539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B9553B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29619.13002806361</c:v>
                </c:pt>
                <c:pt idx="1">
                  <c:v>28234.261764705883</c:v>
                </c:pt>
                <c:pt idx="2">
                  <c:v>27856.817185444979</c:v>
                </c:pt>
                <c:pt idx="3">
                  <c:v>27045.816372682046</c:v>
                </c:pt>
                <c:pt idx="4">
                  <c:v>26649.593884376492</c:v>
                </c:pt>
                <c:pt idx="5">
                  <c:v>26402.683843263552</c:v>
                </c:pt>
                <c:pt idx="6">
                  <c:v>26585.822664770032</c:v>
                </c:pt>
                <c:pt idx="7">
                  <c:v>26705.525460455039</c:v>
                </c:pt>
                <c:pt idx="8">
                  <c:v>28085.287356321838</c:v>
                </c:pt>
                <c:pt idx="9">
                  <c:v>28732.468249585865</c:v>
                </c:pt>
                <c:pt idx="10">
                  <c:v>28467.335423197492</c:v>
                </c:pt>
                <c:pt idx="11">
                  <c:v>28639.327296248382</c:v>
                </c:pt>
                <c:pt idx="12">
                  <c:v>27798.060200668897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37216.510903426788</c:v>
                </c:pt>
                <c:pt idx="1">
                  <c:v>35193.209764918625</c:v>
                </c:pt>
                <c:pt idx="2">
                  <c:v>35841.389290882777</c:v>
                </c:pt>
                <c:pt idx="3">
                  <c:v>35218.996960486322</c:v>
                </c:pt>
                <c:pt idx="4">
                  <c:v>33851.91986644407</c:v>
                </c:pt>
                <c:pt idx="5">
                  <c:v>33967.409948542023</c:v>
                </c:pt>
                <c:pt idx="6">
                  <c:v>32917.11229946524</c:v>
                </c:pt>
                <c:pt idx="7">
                  <c:v>34688.987566607502</c:v>
                </c:pt>
                <c:pt idx="8">
                  <c:v>37177.034358047014</c:v>
                </c:pt>
                <c:pt idx="9">
                  <c:v>37200</c:v>
                </c:pt>
                <c:pt idx="10">
                  <c:v>37677.439024390245</c:v>
                </c:pt>
                <c:pt idx="11">
                  <c:v>37366.533864541831</c:v>
                </c:pt>
                <c:pt idx="12">
                  <c:v>36553.052631578947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114368"/>
        <c:axId val="202114760"/>
      </c:lineChart>
      <c:dateAx>
        <c:axId val="202114368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02114760"/>
        <c:crossesAt val="15000"/>
        <c:auto val="1"/>
        <c:lblOffset val="100"/>
        <c:baseTimeUnit val="months"/>
        <c:majorUnit val="3"/>
        <c:majorTimeUnit val="months"/>
      </c:dateAx>
      <c:valAx>
        <c:axId val="202114760"/>
        <c:scaling>
          <c:orientation val="minMax"/>
          <c:max val="45000"/>
          <c:min val="1500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02114368"/>
        <c:crosses val="autoZero"/>
        <c:crossBetween val="between"/>
      </c:valAx>
      <c:spPr>
        <a:noFill/>
        <a:ln w="25420">
          <a:noFill/>
        </a:ln>
      </c:spPr>
    </c:plotArea>
    <c:legend>
      <c:legendPos val="b"/>
      <c:layout>
        <c:manualLayout>
          <c:xMode val="edge"/>
          <c:yMode val="edge"/>
          <c:x val="0.18333703782522845"/>
          <c:y val="4.1830075809051813E-2"/>
          <c:w val="0.57720870476775676"/>
          <c:h val="0.1102404838989035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1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65754542534443"/>
          <c:y val="0.16788929585351126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3021680216802334E-3"/>
                  <c:y val="1.46923740794128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05758807588076"/>
                  <c:y val="-0.2130394241514864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92818428184281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0.15405405405405406</c:v>
                </c:pt>
                <c:pt idx="1">
                  <c:v>0.53822393822393821</c:v>
                </c:pt>
                <c:pt idx="2">
                  <c:v>0.22162162162162163</c:v>
                </c:pt>
                <c:pt idx="3">
                  <c:v>7.683397683397683E-2</c:v>
                </c:pt>
                <c:pt idx="4">
                  <c:v>9.2664092664092659E-3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554903458368021E-2"/>
          <c:y val="0.16732589536715892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2910168943622891E-2"/>
                  <c:y val="2.93847481588257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9365253415434328"/>
                  <c:y val="-0.220385611191192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516948239371475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0247455070240125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0.11453287197231835</c:v>
                </c:pt>
                <c:pt idx="1">
                  <c:v>0.52249134948096887</c:v>
                </c:pt>
                <c:pt idx="2">
                  <c:v>0.26470588235294118</c:v>
                </c:pt>
                <c:pt idx="3">
                  <c:v>8.9273356401384077E-2</c:v>
                </c:pt>
                <c:pt idx="4">
                  <c:v>8.996539792387544E-3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8904671717173E-2"/>
          <c:y val="2.7738992744097482E-2"/>
          <c:w val="0.90320069622395205"/>
          <c:h val="0.55187331316775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Декабрь 2014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6.8339768339768334E-2</c:v>
                </c:pt>
                <c:pt idx="1">
                  <c:v>9.0733590733590733E-2</c:v>
                </c:pt>
                <c:pt idx="2">
                  <c:v>7.9536679536679533E-2</c:v>
                </c:pt>
                <c:pt idx="3">
                  <c:v>3.397683397683398E-2</c:v>
                </c:pt>
                <c:pt idx="4">
                  <c:v>5.7915057915057917E-2</c:v>
                </c:pt>
                <c:pt idx="5">
                  <c:v>2.664092664092664E-2</c:v>
                </c:pt>
                <c:pt idx="6">
                  <c:v>7.7220077220077222E-3</c:v>
                </c:pt>
                <c:pt idx="7">
                  <c:v>0.11776061776061776</c:v>
                </c:pt>
                <c:pt idx="8">
                  <c:v>4.2084942084942088E-2</c:v>
                </c:pt>
                <c:pt idx="9">
                  <c:v>3.1660231660231658E-2</c:v>
                </c:pt>
                <c:pt idx="10">
                  <c:v>7.4131274131274127E-2</c:v>
                </c:pt>
                <c:pt idx="11">
                  <c:v>2.3938223938223938E-2</c:v>
                </c:pt>
                <c:pt idx="12">
                  <c:v>0.34555984555984554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Декабрь 2015</c:v>
                </c:pt>
              </c:strCache>
            </c:strRef>
          </c:tx>
          <c:spPr>
            <a:solidFill>
              <a:srgbClr val="B9553B">
                <a:alpha val="69804"/>
              </a:srgbClr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7.1626297577854672E-2</c:v>
                </c:pt>
                <c:pt idx="1">
                  <c:v>6.1245674740484431E-2</c:v>
                </c:pt>
                <c:pt idx="2">
                  <c:v>0.11072664359861592</c:v>
                </c:pt>
                <c:pt idx="3">
                  <c:v>3.6678200692041522E-2</c:v>
                </c:pt>
                <c:pt idx="4">
                  <c:v>3.5294117647058823E-2</c:v>
                </c:pt>
                <c:pt idx="5">
                  <c:v>3.9100346020761248E-2</c:v>
                </c:pt>
                <c:pt idx="6">
                  <c:v>5.5363321799307957E-3</c:v>
                </c:pt>
                <c:pt idx="7">
                  <c:v>0.11141868512110727</c:v>
                </c:pt>
                <c:pt idx="8">
                  <c:v>4.3598615916955019E-2</c:v>
                </c:pt>
                <c:pt idx="9">
                  <c:v>3.5640138408304496E-2</c:v>
                </c:pt>
                <c:pt idx="10">
                  <c:v>8.8581314878892731E-2</c:v>
                </c:pt>
                <c:pt idx="11">
                  <c:v>2.8027681660899653E-2</c:v>
                </c:pt>
                <c:pt idx="12">
                  <c:v>0.33252595155709341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5687584"/>
        <c:axId val="212651920"/>
      </c:barChart>
      <c:catAx>
        <c:axId val="3456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265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5192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345687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17455808080811"/>
          <c:y val="0"/>
          <c:w val="0.48781881313131376"/>
          <c:h val="8.9571178204072843E-2"/>
        </c:manualLayout>
      </c:layout>
      <c:overlay val="0"/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84109952187848E-2"/>
          <c:y val="3.0907809675541652E-2"/>
          <c:w val="0.890720315878057"/>
          <c:h val="0.87142319154080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9853</c:v>
                </c:pt>
                <c:pt idx="1">
                  <c:v>8414</c:v>
                </c:pt>
                <c:pt idx="2">
                  <c:v>10769</c:v>
                </c:pt>
                <c:pt idx="3">
                  <c:v>10625</c:v>
                </c:pt>
                <c:pt idx="4">
                  <c:v>9936</c:v>
                </c:pt>
                <c:pt idx="5">
                  <c:v>8941</c:v>
                </c:pt>
                <c:pt idx="6">
                  <c:v>9500</c:v>
                </c:pt>
                <c:pt idx="7">
                  <c:v>8397</c:v>
                </c:pt>
                <c:pt idx="8">
                  <c:v>8392</c:v>
                </c:pt>
                <c:pt idx="9">
                  <c:v>8269</c:v>
                </c:pt>
                <c:pt idx="10">
                  <c:v>7433</c:v>
                </c:pt>
                <c:pt idx="11">
                  <c:v>7082</c:v>
                </c:pt>
                <c:pt idx="12">
                  <c:v>7091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674648"/>
        <c:axId val="345687976"/>
      </c:barChart>
      <c:dateAx>
        <c:axId val="34567464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345687976"/>
        <c:crosses val="autoZero"/>
        <c:auto val="1"/>
        <c:lblOffset val="100"/>
        <c:baseTimeUnit val="months"/>
      </c:dateAx>
      <c:valAx>
        <c:axId val="345687976"/>
        <c:scaling>
          <c:orientation val="minMax"/>
          <c:max val="14000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345674648"/>
        <c:crosses val="autoZero"/>
        <c:crossBetween val="between"/>
        <c:majorUnit val="2000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80118428730949E-2"/>
          <c:y val="2.9827159727350592E-2"/>
          <c:w val="0.890720315878057"/>
          <c:h val="0.87142319154080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982</c:v>
                </c:pt>
                <c:pt idx="1">
                  <c:v>726</c:v>
                </c:pt>
                <c:pt idx="2">
                  <c:v>788</c:v>
                </c:pt>
                <c:pt idx="3">
                  <c:v>725</c:v>
                </c:pt>
                <c:pt idx="4">
                  <c:v>647</c:v>
                </c:pt>
                <c:pt idx="5">
                  <c:v>640</c:v>
                </c:pt>
                <c:pt idx="6">
                  <c:v>754</c:v>
                </c:pt>
                <c:pt idx="7">
                  <c:v>787</c:v>
                </c:pt>
                <c:pt idx="8">
                  <c:v>1393</c:v>
                </c:pt>
                <c:pt idx="9">
                  <c:v>1331</c:v>
                </c:pt>
                <c:pt idx="10">
                  <c:v>1112</c:v>
                </c:pt>
                <c:pt idx="11">
                  <c:v>1038</c:v>
                </c:pt>
                <c:pt idx="12">
                  <c:v>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57904"/>
        <c:axId val="208759864"/>
      </c:barChart>
      <c:dateAx>
        <c:axId val="20875790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8759864"/>
        <c:crosses val="autoZero"/>
        <c:auto val="1"/>
        <c:lblOffset val="100"/>
        <c:baseTimeUnit val="months"/>
      </c:dateAx>
      <c:valAx>
        <c:axId val="20875986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8757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7.2832317073170727E-2"/>
                  <c:y val="-0.2110289351851853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17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</c:v>
                </c:pt>
                <c:pt idx="1">
                  <c:v>0.36086956521739133</c:v>
                </c:pt>
                <c:pt idx="2">
                  <c:v>0.18043478260869567</c:v>
                </c:pt>
                <c:pt idx="3">
                  <c:v>5.8695652173913045E-2</c:v>
                </c:pt>
                <c:pt idx="4">
                  <c:v>4.9999999999999996E-2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1.9131436314363145E-2"/>
                  <c:y val="-0.203679398148148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17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0.31571218795888401</c:v>
                </c:pt>
                <c:pt idx="1">
                  <c:v>0.38179148311306904</c:v>
                </c:pt>
                <c:pt idx="2">
                  <c:v>0.16593245227606462</c:v>
                </c:pt>
                <c:pt idx="3">
                  <c:v>6.3142437591776804E-2</c:v>
                </c:pt>
                <c:pt idx="4">
                  <c:v>7.3421439060205582E-2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9921916549823904E-2"/>
          <c:y val="2.7377924600902836E-2"/>
          <c:w val="0.90320069622395205"/>
          <c:h val="0.59276041031223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6.6024759284731768E-2</c:v>
                </c:pt>
                <c:pt idx="1">
                  <c:v>3.4387895460797797E-2</c:v>
                </c:pt>
                <c:pt idx="2">
                  <c:v>0.11279229711141678</c:v>
                </c:pt>
                <c:pt idx="3">
                  <c:v>7.4277854195323248E-2</c:v>
                </c:pt>
                <c:pt idx="4">
                  <c:v>4.951856946354883E-2</c:v>
                </c:pt>
                <c:pt idx="5">
                  <c:v>5.6396148555708389E-2</c:v>
                </c:pt>
                <c:pt idx="6">
                  <c:v>3.3012379642365884E-2</c:v>
                </c:pt>
                <c:pt idx="7">
                  <c:v>0.10041265474552957</c:v>
                </c:pt>
                <c:pt idx="8">
                  <c:v>9.9037138927097659E-2</c:v>
                </c:pt>
                <c:pt idx="9">
                  <c:v>4.8143053645116916E-2</c:v>
                </c:pt>
                <c:pt idx="10">
                  <c:v>0.11141678129298486</c:v>
                </c:pt>
                <c:pt idx="11">
                  <c:v>9.7661623108665746E-2</c:v>
                </c:pt>
                <c:pt idx="12">
                  <c:v>0.11691884456671252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63392"/>
        <c:axId val="212641728"/>
      </c:barChart>
      <c:catAx>
        <c:axId val="20876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1264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41728"/>
        <c:scaling>
          <c:orientation val="minMax"/>
          <c:max val="0.14000000000000001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8763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7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&lt;8</c:v>
                </c:pt>
                <c:pt idx="1">
                  <c:v>8-10</c:v>
                </c:pt>
                <c:pt idx="2">
                  <c:v>10-12</c:v>
                </c:pt>
                <c:pt idx="3">
                  <c:v>12-14</c:v>
                </c:pt>
                <c:pt idx="4">
                  <c:v>14-16</c:v>
                </c:pt>
                <c:pt idx="5">
                  <c:v>&gt;16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4.2253521126760563E-2</c:v>
                </c:pt>
                <c:pt idx="1">
                  <c:v>5.6338028169014086E-2</c:v>
                </c:pt>
                <c:pt idx="2">
                  <c:v>0.37089201877934275</c:v>
                </c:pt>
                <c:pt idx="3">
                  <c:v>0.37089201877934275</c:v>
                </c:pt>
                <c:pt idx="4">
                  <c:v>0.15492957746478872</c:v>
                </c:pt>
                <c:pt idx="5">
                  <c:v>4.6948356807511738E-3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0315584"/>
        <c:axId val="280315976"/>
      </c:barChart>
      <c:catAx>
        <c:axId val="28031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0315976"/>
        <c:crossesAt val="0"/>
        <c:auto val="1"/>
        <c:lblAlgn val="ctr"/>
        <c:lblOffset val="100"/>
        <c:noMultiLvlLbl val="0"/>
      </c:catAx>
      <c:valAx>
        <c:axId val="280315976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0315584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17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&lt;16</c:v>
                </c:pt>
                <c:pt idx="1">
                  <c:v>16-19</c:v>
                </c:pt>
                <c:pt idx="2">
                  <c:v>19-22</c:v>
                </c:pt>
                <c:pt idx="3">
                  <c:v>22-25</c:v>
                </c:pt>
                <c:pt idx="4">
                  <c:v>25-28</c:v>
                </c:pt>
                <c:pt idx="5">
                  <c:v>&gt;28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0.11538461538461539</c:v>
                </c:pt>
                <c:pt idx="1">
                  <c:v>0.28076923076923077</c:v>
                </c:pt>
                <c:pt idx="2">
                  <c:v>0.27692307692307694</c:v>
                </c:pt>
                <c:pt idx="3">
                  <c:v>6.5384615384615388E-2</c:v>
                </c:pt>
                <c:pt idx="4">
                  <c:v>0.1423076923076923</c:v>
                </c:pt>
                <c:pt idx="5">
                  <c:v>0.11923076923076924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6202800"/>
        <c:axId val="256203192"/>
      </c:barChart>
      <c:catAx>
        <c:axId val="256202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6203192"/>
        <c:crossesAt val="0"/>
        <c:auto val="1"/>
        <c:lblAlgn val="ctr"/>
        <c:lblOffset val="100"/>
        <c:noMultiLvlLbl val="0"/>
      </c:catAx>
      <c:valAx>
        <c:axId val="256203192"/>
        <c:scaling>
          <c:orientation val="minMax"/>
          <c:max val="0.4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6202800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16032445944253"/>
          <c:y val="8.0808057436770719E-2"/>
          <c:w val="0.7966253767377276"/>
          <c:h val="0.80714252893952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комнаты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11373.493975903615</c:v>
                </c:pt>
                <c:pt idx="1">
                  <c:v>11402.026782482808</c:v>
                </c:pt>
                <c:pt idx="2">
                  <c:v>11240.94752186589</c:v>
                </c:pt>
                <c:pt idx="3">
                  <c:v>11053.018138566757</c:v>
                </c:pt>
                <c:pt idx="4">
                  <c:v>10814.653302661847</c:v>
                </c:pt>
                <c:pt idx="5">
                  <c:v>10826.859504132231</c:v>
                </c:pt>
                <c:pt idx="6">
                  <c:v>10749.581824764664</c:v>
                </c:pt>
                <c:pt idx="7">
                  <c:v>10904.027949034114</c:v>
                </c:pt>
                <c:pt idx="8">
                  <c:v>11041.32060461416</c:v>
                </c:pt>
                <c:pt idx="9">
                  <c:v>11080.67124949454</c:v>
                </c:pt>
                <c:pt idx="10">
                  <c:v>11002.227826817991</c:v>
                </c:pt>
                <c:pt idx="11">
                  <c:v>10984.495779653487</c:v>
                </c:pt>
                <c:pt idx="12">
                  <c:v>11078.018995929444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682192"/>
        <c:axId val="163682584"/>
      </c:lineChart>
      <c:dateAx>
        <c:axId val="163682192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3682584"/>
        <c:crossesAt val="10600"/>
        <c:auto val="1"/>
        <c:lblOffset val="100"/>
        <c:baseTimeUnit val="months"/>
        <c:majorUnit val="3"/>
        <c:majorTimeUnit val="months"/>
      </c:dateAx>
      <c:valAx>
        <c:axId val="163682584"/>
        <c:scaling>
          <c:orientation val="minMax"/>
          <c:max val="11800"/>
          <c:min val="1060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3682192"/>
        <c:crosses val="autoZero"/>
        <c:crossBetween val="between"/>
        <c:majorUnit val="200"/>
        <c:minorUnit val="100"/>
      </c:valAx>
      <c:spPr>
        <a:noFill/>
        <a:ln w="25420">
          <a:noFill/>
        </a:ln>
      </c:spPr>
    </c:plotArea>
    <c:legend>
      <c:legendPos val="t"/>
      <c:layout/>
      <c:overlay val="1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1">
          <a:latin typeface="PT Sans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17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&lt;20</c:v>
                </c:pt>
                <c:pt idx="1">
                  <c:v>20-24</c:v>
                </c:pt>
                <c:pt idx="2">
                  <c:v>24-28</c:v>
                </c:pt>
                <c:pt idx="3">
                  <c:v>28-32</c:v>
                </c:pt>
                <c:pt idx="4">
                  <c:v>32-36</c:v>
                </c:pt>
                <c:pt idx="5">
                  <c:v>36-40</c:v>
                </c:pt>
                <c:pt idx="6">
                  <c:v>&gt;40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4.4247787610619468E-2</c:v>
                </c:pt>
                <c:pt idx="1">
                  <c:v>0.24778761061946902</c:v>
                </c:pt>
                <c:pt idx="2">
                  <c:v>0.44247787610619471</c:v>
                </c:pt>
                <c:pt idx="3">
                  <c:v>0.18584070796460178</c:v>
                </c:pt>
                <c:pt idx="4">
                  <c:v>3.5398230088495575E-2</c:v>
                </c:pt>
                <c:pt idx="5">
                  <c:v>3.5398230088495575E-2</c:v>
                </c:pt>
                <c:pt idx="6">
                  <c:v>8.8495575221238937E-3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0316368"/>
        <c:axId val="279925072"/>
      </c:barChart>
      <c:catAx>
        <c:axId val="28031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9925072"/>
        <c:crossesAt val="0"/>
        <c:auto val="1"/>
        <c:lblAlgn val="ctr"/>
        <c:lblOffset val="100"/>
        <c:noMultiLvlLbl val="0"/>
      </c:catAx>
      <c:valAx>
        <c:axId val="279925072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0316368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61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&lt;23</c:v>
                </c:pt>
                <c:pt idx="1">
                  <c:v>23-31</c:v>
                </c:pt>
                <c:pt idx="2">
                  <c:v>31-39</c:v>
                </c:pt>
                <c:pt idx="3">
                  <c:v>39-47</c:v>
                </c:pt>
                <c:pt idx="4">
                  <c:v>&gt;47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0.05</c:v>
                </c:pt>
                <c:pt idx="1">
                  <c:v>0.47499999999999998</c:v>
                </c:pt>
                <c:pt idx="2">
                  <c:v>0.2</c:v>
                </c:pt>
                <c:pt idx="3">
                  <c:v>0.125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9925464"/>
        <c:axId val="279925856"/>
      </c:barChart>
      <c:catAx>
        <c:axId val="279925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9925856"/>
        <c:crossesAt val="0"/>
        <c:auto val="1"/>
        <c:lblAlgn val="ctr"/>
        <c:lblOffset val="100"/>
        <c:noMultiLvlLbl val="0"/>
      </c:catAx>
      <c:valAx>
        <c:axId val="279925856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9925464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2.9810636856368571E-2"/>
                  <c:y val="-0.211028935185185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0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0.31168172130315641</c:v>
                </c:pt>
                <c:pt idx="1">
                  <c:v>0.40109611285902769</c:v>
                </c:pt>
                <c:pt idx="2">
                  <c:v>0.21698974931492945</c:v>
                </c:pt>
                <c:pt idx="3">
                  <c:v>6.5157819953313711E-2</c:v>
                </c:pt>
                <c:pt idx="4">
                  <c:v>5.0745965695727186E-3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4.0642276422764224E-2"/>
                  <c:y val="-0.211028935185185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0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0.31167183535382015</c:v>
                </c:pt>
                <c:pt idx="1">
                  <c:v>0.40442627572596562</c:v>
                </c:pt>
                <c:pt idx="2">
                  <c:v>0.21074147166619678</c:v>
                </c:pt>
                <c:pt idx="3">
                  <c:v>6.6957992669861854E-2</c:v>
                </c:pt>
                <c:pt idx="4">
                  <c:v>6.2024245841556247E-3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772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&lt;8</c:v>
                </c:pt>
                <c:pt idx="1">
                  <c:v>8-10</c:v>
                </c:pt>
                <c:pt idx="2">
                  <c:v>10-12</c:v>
                </c:pt>
                <c:pt idx="3">
                  <c:v>12-14</c:v>
                </c:pt>
                <c:pt idx="4">
                  <c:v>14-16</c:v>
                </c:pt>
                <c:pt idx="5">
                  <c:v>&gt;16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2.8946178199909543E-2</c:v>
                </c:pt>
                <c:pt idx="1">
                  <c:v>0.1551334237901402</c:v>
                </c:pt>
                <c:pt idx="2">
                  <c:v>0.41022161917684308</c:v>
                </c:pt>
                <c:pt idx="3">
                  <c:v>0.29986431478968795</c:v>
                </c:pt>
                <c:pt idx="4">
                  <c:v>9.0456806874717327E-2</c:v>
                </c:pt>
                <c:pt idx="5">
                  <c:v>1.5377657168701944E-2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908632"/>
        <c:axId val="214814208"/>
      </c:barChart>
      <c:catAx>
        <c:axId val="207908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4814208"/>
        <c:crossesAt val="0"/>
        <c:auto val="1"/>
        <c:lblAlgn val="ctr"/>
        <c:lblOffset val="100"/>
        <c:noMultiLvlLbl val="0"/>
      </c:catAx>
      <c:valAx>
        <c:axId val="214814208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7908632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7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&lt;16</c:v>
                </c:pt>
                <c:pt idx="1">
                  <c:v>16-19</c:v>
                </c:pt>
                <c:pt idx="2">
                  <c:v>19-22</c:v>
                </c:pt>
                <c:pt idx="3">
                  <c:v>22-25</c:v>
                </c:pt>
                <c:pt idx="4">
                  <c:v>25-28</c:v>
                </c:pt>
                <c:pt idx="5">
                  <c:v>&gt;28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6.0299756012547924E-2</c:v>
                </c:pt>
                <c:pt idx="1">
                  <c:v>0.28581387242941791</c:v>
                </c:pt>
                <c:pt idx="2">
                  <c:v>0.29522481700941094</c:v>
                </c:pt>
                <c:pt idx="3">
                  <c:v>0.15754618333914255</c:v>
                </c:pt>
                <c:pt idx="4">
                  <c:v>0.12652492157546183</c:v>
                </c:pt>
                <c:pt idx="5">
                  <c:v>7.4590449634018827E-2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468736"/>
        <c:axId val="164469912"/>
      </c:barChart>
      <c:catAx>
        <c:axId val="1644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64469912"/>
        <c:crossesAt val="0"/>
        <c:auto val="1"/>
        <c:lblAlgn val="ctr"/>
        <c:lblOffset val="100"/>
        <c:noMultiLvlLbl val="0"/>
      </c:catAx>
      <c:valAx>
        <c:axId val="164469912"/>
        <c:scaling>
          <c:orientation val="minMax"/>
          <c:max val="0.4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64468736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7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&lt;20</c:v>
                </c:pt>
                <c:pt idx="1">
                  <c:v>20-24</c:v>
                </c:pt>
                <c:pt idx="2">
                  <c:v>24-28</c:v>
                </c:pt>
                <c:pt idx="3">
                  <c:v>28-32</c:v>
                </c:pt>
                <c:pt idx="4">
                  <c:v>32-36</c:v>
                </c:pt>
                <c:pt idx="5">
                  <c:v>36-40</c:v>
                </c:pt>
                <c:pt idx="6">
                  <c:v>&gt;40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4.6153846153846156E-2</c:v>
                </c:pt>
                <c:pt idx="1">
                  <c:v>0.30234113712374583</c:v>
                </c:pt>
                <c:pt idx="2">
                  <c:v>0.2976588628762542</c:v>
                </c:pt>
                <c:pt idx="3">
                  <c:v>0.14046822742474915</c:v>
                </c:pt>
                <c:pt idx="4">
                  <c:v>8.2943143812709036E-2</c:v>
                </c:pt>
                <c:pt idx="5">
                  <c:v>5.9531772575250837E-2</c:v>
                </c:pt>
                <c:pt idx="6">
                  <c:v>7.0903010033444819E-2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909808"/>
        <c:axId val="207909416"/>
      </c:barChart>
      <c:catAx>
        <c:axId val="20790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7909416"/>
        <c:crossesAt val="0"/>
        <c:auto val="1"/>
        <c:lblAlgn val="ctr"/>
        <c:lblOffset val="100"/>
        <c:noMultiLvlLbl val="0"/>
      </c:catAx>
      <c:valAx>
        <c:axId val="207909416"/>
        <c:scaling>
          <c:orientation val="minMax"/>
          <c:max val="0.4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7909808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7817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&lt;23</c:v>
                </c:pt>
                <c:pt idx="1">
                  <c:v>23-31</c:v>
                </c:pt>
                <c:pt idx="2">
                  <c:v>31-39</c:v>
                </c:pt>
                <c:pt idx="3">
                  <c:v>39-47</c:v>
                </c:pt>
                <c:pt idx="4">
                  <c:v>47-55</c:v>
                </c:pt>
                <c:pt idx="5">
                  <c:v>55-63</c:v>
                </c:pt>
                <c:pt idx="6">
                  <c:v>&gt;63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8.4210526315789472E-2</c:v>
                </c:pt>
                <c:pt idx="1">
                  <c:v>0.42315789473684212</c:v>
                </c:pt>
                <c:pt idx="2">
                  <c:v>0.17263157894736841</c:v>
                </c:pt>
                <c:pt idx="3">
                  <c:v>0.12631578947368421</c:v>
                </c:pt>
                <c:pt idx="4">
                  <c:v>7.1578947368421048E-2</c:v>
                </c:pt>
                <c:pt idx="5">
                  <c:v>4.6315789473684213E-2</c:v>
                </c:pt>
                <c:pt idx="6">
                  <c:v>7.5789473684210532E-2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469520"/>
        <c:axId val="203744880"/>
      </c:barChart>
      <c:catAx>
        <c:axId val="16446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3744880"/>
        <c:crossesAt val="0"/>
        <c:auto val="1"/>
        <c:lblAlgn val="ctr"/>
        <c:lblOffset val="100"/>
        <c:noMultiLvlLbl val="0"/>
      </c:catAx>
      <c:valAx>
        <c:axId val="203744880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64469520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9921916549823904E-2"/>
          <c:y val="2.7377924600902836E-2"/>
          <c:w val="0.90320069622395205"/>
          <c:h val="0.59276041031223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5.3143501550606147E-2</c:v>
                </c:pt>
                <c:pt idx="1">
                  <c:v>4.6941076966450522E-2</c:v>
                </c:pt>
                <c:pt idx="2">
                  <c:v>0.10304482661404003</c:v>
                </c:pt>
                <c:pt idx="3">
                  <c:v>9.6842402029884408E-2</c:v>
                </c:pt>
                <c:pt idx="4">
                  <c:v>7.5556808570623066E-2</c:v>
                </c:pt>
                <c:pt idx="5">
                  <c:v>6.1601353256272903E-2</c:v>
                </c:pt>
                <c:pt idx="6">
                  <c:v>7.9080913447984208E-2</c:v>
                </c:pt>
                <c:pt idx="7">
                  <c:v>8.6833944178178746E-2</c:v>
                </c:pt>
                <c:pt idx="8">
                  <c:v>0.1060050747110234</c:v>
                </c:pt>
                <c:pt idx="9">
                  <c:v>3.0166337750211446E-2</c:v>
                </c:pt>
                <c:pt idx="10">
                  <c:v>0.10783760924725119</c:v>
                </c:pt>
                <c:pt idx="11">
                  <c:v>7.7671271497039757E-2</c:v>
                </c:pt>
                <c:pt idx="12">
                  <c:v>7.527488018043417E-2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794800"/>
        <c:axId val="274316224"/>
      </c:barChart>
      <c:catAx>
        <c:axId val="20679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7431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316224"/>
        <c:scaling>
          <c:orientation val="minMax"/>
          <c:max val="0.14000000000000001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6794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6104" y="1512168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2014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2015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0.53664</cdr:x>
      <cdr:y>0.8747</cdr:y>
    </cdr:from>
    <cdr:to>
      <cdr:x>1</cdr:x>
      <cdr:y>0.99932</cdr:y>
    </cdr:to>
    <cdr:sp macro="" textlink="">
      <cdr:nvSpPr>
        <cdr:cNvPr id="6" name="Прямоугольник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4176" y="1512168"/>
          <a:ext cx="1367824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декабрь 2014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0.41462</cdr:x>
      <cdr:y>1</cdr:y>
    </cdr:to>
    <cdr:pic>
      <cdr:nvPicPr>
        <cdr:cNvPr id="7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72008" y="1584176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0.55807</cdr:x>
      <cdr:y>0.8747</cdr:y>
    </cdr:from>
    <cdr:to>
      <cdr:x>1</cdr:x>
      <cdr:y>0.99932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46955" y="1512168"/>
          <a:ext cx="1304207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декабрь 2015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0.41474</cdr:x>
      <cdr:y>1</cdr:y>
    </cdr:to>
    <cdr:pic>
      <cdr:nvPicPr>
        <cdr:cNvPr id="4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43051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6104" y="1512168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2014 года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декабрь 2015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13018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Некрасова Галина Вячеславовна</cp:lastModifiedBy>
  <cp:revision>3</cp:revision>
  <dcterms:created xsi:type="dcterms:W3CDTF">2015-12-28T11:46:00Z</dcterms:created>
  <dcterms:modified xsi:type="dcterms:W3CDTF">2015-12-28T11:59:00Z</dcterms:modified>
</cp:coreProperties>
</file>